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635914878"/>
        <w:docPartObj>
          <w:docPartGallery w:val="Cover Pages"/>
          <w:docPartUnique/>
        </w:docPartObj>
      </w:sdtPr>
      <w:sdtEndPr/>
      <w:sdtContent>
        <w:p w14:paraId="1327EFC4" w14:textId="77777777" w:rsidR="00C91A3D" w:rsidRDefault="00C91A3D">
          <w:r>
            <w:rPr>
              <w:noProof/>
            </w:rPr>
            <mc:AlternateContent>
              <mc:Choice Requires="wpg">
                <w:drawing>
                  <wp:anchor distT="0" distB="0" distL="114300" distR="114300" simplePos="0" relativeHeight="251664384" behindDoc="0" locked="0" layoutInCell="1" allowOverlap="1" wp14:anchorId="613E89CF" wp14:editId="3739A829">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8EC80DC" id="Group 149" o:spid="_x0000_s1026" style="position:absolute;margin-left:0;margin-top:0;width:8in;height:95.7pt;z-index:25166438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a5300f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p>
        <w:p w14:paraId="7E25E719" w14:textId="77777777" w:rsidR="00C91A3D" w:rsidRDefault="0034684E">
          <w:r>
            <w:rPr>
              <w:noProof/>
            </w:rPr>
            <mc:AlternateContent>
              <mc:Choice Requires="wps">
                <w:drawing>
                  <wp:anchor distT="0" distB="0" distL="114300" distR="114300" simplePos="0" relativeHeight="251663360" behindDoc="0" locked="0" layoutInCell="1" allowOverlap="1" wp14:anchorId="39F4FE31" wp14:editId="06C87AB7">
                    <wp:simplePos x="0" y="0"/>
                    <wp:positionH relativeFrom="margin">
                      <wp:align>center</wp:align>
                    </wp:positionH>
                    <wp:positionV relativeFrom="page">
                      <wp:posOffset>6336030</wp:posOffset>
                    </wp:positionV>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hAnsi="Calibri" w:cs="Calibri"/>
                                    <w:color w:val="000000"/>
                                    <w:sz w:val="24"/>
                                    <w:szCs w:val="24"/>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0175058D" w14:textId="1BDA1843" w:rsidR="00267C4F" w:rsidRDefault="00AF5E50">
                                    <w:pPr>
                                      <w:pStyle w:val="NoSpacing"/>
                                      <w:jc w:val="right"/>
                                      <w:rPr>
                                        <w:color w:val="595959" w:themeColor="text1" w:themeTint="A6"/>
                                        <w:sz w:val="20"/>
                                        <w:szCs w:val="20"/>
                                      </w:rPr>
                                    </w:pPr>
                                    <w:r w:rsidRPr="00C91A3D">
                                      <w:rPr>
                                        <w:rFonts w:ascii="Calibri" w:hAnsi="Calibri" w:cs="Calibri"/>
                                        <w:color w:val="000000"/>
                                        <w:sz w:val="24"/>
                                        <w:szCs w:val="24"/>
                                      </w:rPr>
                                      <w:t xml:space="preserve">This document outlines recommendations on a preferred flexible structure (framework) </w:t>
                                    </w:r>
                                    <w:r>
                                      <w:rPr>
                                        <w:rFonts w:ascii="Calibri" w:hAnsi="Calibri" w:cs="Calibri"/>
                                        <w:color w:val="000000"/>
                                        <w:sz w:val="24"/>
                                        <w:szCs w:val="24"/>
                                      </w:rPr>
                                      <w:t>f</w:t>
                                    </w:r>
                                    <w:r w:rsidRPr="00C91A3D">
                                      <w:rPr>
                                        <w:rFonts w:ascii="Calibri" w:hAnsi="Calibri" w:cs="Calibri"/>
                                        <w:color w:val="000000"/>
                                        <w:sz w:val="24"/>
                                        <w:szCs w:val="24"/>
                                      </w:rPr>
                                      <w:t xml:space="preserve">or First Nations in Ontario to work collaboratively with Indigenous Services Canada (ISC). This framework </w:t>
                                    </w:r>
                                    <w:r>
                                      <w:rPr>
                                        <w:rFonts w:ascii="Calibri" w:hAnsi="Calibri" w:cs="Calibri"/>
                                        <w:color w:val="000000"/>
                                        <w:sz w:val="24"/>
                                        <w:szCs w:val="24"/>
                                      </w:rPr>
                                      <w:t>outlines</w:t>
                                    </w:r>
                                    <w:r w:rsidRPr="00C91A3D">
                                      <w:rPr>
                                        <w:rFonts w:ascii="Calibri" w:hAnsi="Calibri" w:cs="Calibri"/>
                                        <w:color w:val="000000"/>
                                        <w:sz w:val="24"/>
                                        <w:szCs w:val="24"/>
                                      </w:rPr>
                                      <w:t xml:space="preserve"> the overarching structure to build and execute an evergreen strategy that supports all First Nations in Ontario in asserting their </w:t>
                                    </w:r>
                                    <w:r>
                                      <w:rPr>
                                        <w:rFonts w:ascii="Calibri" w:hAnsi="Calibri" w:cs="Calibri"/>
                                        <w:color w:val="000000"/>
                                        <w:sz w:val="24"/>
                                        <w:szCs w:val="24"/>
                                      </w:rPr>
                                      <w:t xml:space="preserve">rights, </w:t>
                                    </w:r>
                                    <w:r w:rsidRPr="00C91A3D">
                                      <w:rPr>
                                        <w:rFonts w:ascii="Calibri" w:hAnsi="Calibri" w:cs="Calibri"/>
                                        <w:color w:val="000000"/>
                                        <w:sz w:val="24"/>
                                        <w:szCs w:val="24"/>
                                      </w:rPr>
                                      <w:t>sovereignty and jurisdiction over education and learning that meets the needs of First Nation communities, individuals and designated entities. Moreover, this framework forms the basis for the development of, including but not limited to, Strategic Plans, Action Plans, Critical Paths, Logic Models and/or Theories of Change and Budget requirements to undertake activities and implement decisions.</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39F4FE31" id="_x0000_t202" coordsize="21600,21600" o:spt="202" path="m,l,21600r21600,l21600,xe">
                    <v:stroke joinstyle="miter"/>
                    <v:path gradientshapeok="t" o:connecttype="rect"/>
                  </v:shapetype>
                  <v:shape id="Text Box 153" o:spid="_x0000_s1026" type="#_x0000_t202" style="position:absolute;margin-left:0;margin-top:498.9pt;width:8in;height:79.5pt;z-index:251663360;visibility:visible;mso-wrap-style:square;mso-width-percent:941;mso-height-percent:100;mso-wrap-distance-left:9pt;mso-wrap-distance-top:0;mso-wrap-distance-right:9pt;mso-wrap-distance-bottom:0;mso-position-horizontal:center;mso-position-horizontal-relative:margin;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" filled="f" stroked="f" strokeweight=".5pt">
                    <v:textbox style="mso-fit-shape-to-text:t" inset="126pt,0,54pt,0">
                      <w:txbxContent>
                        <w:sdt>
                          <w:sdtPr>
                            <w:rPr>
                              <w:rFonts w:ascii="Calibri" w:hAnsi="Calibri" w:cs="Calibri"/>
                              <w:color w:val="000000"/>
                              <w:sz w:val="24"/>
                              <w:szCs w:val="24"/>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0175058D" w14:textId="1BDA1843" w:rsidR="00267C4F" w:rsidRDefault="00AF5E50">
                              <w:pPr>
                                <w:pStyle w:val="NoSpacing"/>
                                <w:jc w:val="right"/>
                                <w:rPr>
                                  <w:color w:val="595959" w:themeColor="text1" w:themeTint="A6"/>
                                  <w:sz w:val="20"/>
                                  <w:szCs w:val="20"/>
                                </w:rPr>
                              </w:pPr>
                              <w:r w:rsidRPr="00C91A3D">
                                <w:rPr>
                                  <w:rFonts w:ascii="Calibri" w:hAnsi="Calibri" w:cs="Calibri"/>
                                  <w:color w:val="000000"/>
                                  <w:sz w:val="24"/>
                                  <w:szCs w:val="24"/>
                                </w:rPr>
                                <w:t xml:space="preserve">This document outlines recommendations on a preferred flexible structure (framework) </w:t>
                              </w:r>
                              <w:r>
                                <w:rPr>
                                  <w:rFonts w:ascii="Calibri" w:hAnsi="Calibri" w:cs="Calibri"/>
                                  <w:color w:val="000000"/>
                                  <w:sz w:val="24"/>
                                  <w:szCs w:val="24"/>
                                </w:rPr>
                                <w:t>f</w:t>
                              </w:r>
                              <w:r w:rsidRPr="00C91A3D">
                                <w:rPr>
                                  <w:rFonts w:ascii="Calibri" w:hAnsi="Calibri" w:cs="Calibri"/>
                                  <w:color w:val="000000"/>
                                  <w:sz w:val="24"/>
                                  <w:szCs w:val="24"/>
                                </w:rPr>
                                <w:t xml:space="preserve">or First Nations in Ontario to work collaboratively with Indigenous Services Canada (ISC). This framework </w:t>
                              </w:r>
                              <w:r>
                                <w:rPr>
                                  <w:rFonts w:ascii="Calibri" w:hAnsi="Calibri" w:cs="Calibri"/>
                                  <w:color w:val="000000"/>
                                  <w:sz w:val="24"/>
                                  <w:szCs w:val="24"/>
                                </w:rPr>
                                <w:t>outlines</w:t>
                              </w:r>
                              <w:r w:rsidRPr="00C91A3D">
                                <w:rPr>
                                  <w:rFonts w:ascii="Calibri" w:hAnsi="Calibri" w:cs="Calibri"/>
                                  <w:color w:val="000000"/>
                                  <w:sz w:val="24"/>
                                  <w:szCs w:val="24"/>
                                </w:rPr>
                                <w:t xml:space="preserve"> the overarching structure to build and execute an evergreen strategy that supports all First Nations in Ontario in asserting their </w:t>
                              </w:r>
                              <w:r>
                                <w:rPr>
                                  <w:rFonts w:ascii="Calibri" w:hAnsi="Calibri" w:cs="Calibri"/>
                                  <w:color w:val="000000"/>
                                  <w:sz w:val="24"/>
                                  <w:szCs w:val="24"/>
                                </w:rPr>
                                <w:t xml:space="preserve">rights, </w:t>
                              </w:r>
                              <w:r w:rsidRPr="00C91A3D">
                                <w:rPr>
                                  <w:rFonts w:ascii="Calibri" w:hAnsi="Calibri" w:cs="Calibri"/>
                                  <w:color w:val="000000"/>
                                  <w:sz w:val="24"/>
                                  <w:szCs w:val="24"/>
                                </w:rPr>
                                <w:t>sovereignty and jurisdiction over education and learning that meets the needs of First Nation communities, individuals and designated entities. Moreover, this framework forms the basis for the development of, including but not limited to, Strategic Plans, Action Plans, Critical Paths, Logic Models and/or Theories of Change and Budget requirements to undertake activities and implement decisions.</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61312" behindDoc="0" locked="0" layoutInCell="1" allowOverlap="1" wp14:anchorId="54187AF2" wp14:editId="4A318628">
                    <wp:simplePos x="0" y="0"/>
                    <wp:positionH relativeFrom="margin">
                      <wp:align>center</wp:align>
                    </wp:positionH>
                    <wp:positionV relativeFrom="page">
                      <wp:posOffset>1941195</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2DF931" w14:textId="77777777" w:rsidR="0034684E" w:rsidRDefault="0034684E" w:rsidP="0034684E">
                                <w:pPr>
                                  <w:jc w:val="right"/>
                                  <w:rPr>
                                    <w:color w:val="A5300F" w:themeColor="accent1"/>
                                    <w:sz w:val="64"/>
                                    <w:szCs w:val="64"/>
                                  </w:rPr>
                                </w:pPr>
                                <w:r w:rsidRPr="0034684E">
                                  <w:rPr>
                                    <w:color w:val="A5300F" w:themeColor="accent1"/>
                                    <w:sz w:val="64"/>
                                    <w:szCs w:val="64"/>
                                  </w:rPr>
                                  <w:t>Ontario Bilateral Education and Learning Table</w:t>
                                </w:r>
                              </w:p>
                              <w:p w14:paraId="3EBDADDE" w14:textId="77777777" w:rsidR="00267C4F" w:rsidRDefault="00C34A6C">
                                <w:pPr>
                                  <w:jc w:val="right"/>
                                  <w:rPr>
                                    <w:smallCaps/>
                                    <w:color w:val="404040" w:themeColor="text1" w:themeTint="BF"/>
                                    <w:sz w:val="36"/>
                                    <w:szCs w:val="36"/>
                                  </w:rPr>
                                </w:pPr>
                                <w:sdt>
                                  <w:sdtPr>
                                    <w:rPr>
                                      <w:caps/>
                                      <w:color w:val="A5300F" w:themeColor="accent1"/>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34684E">
                                      <w:rPr>
                                        <w:caps/>
                                        <w:color w:val="A5300F" w:themeColor="accent1"/>
                                        <w:sz w:val="36"/>
                                        <w:szCs w:val="36"/>
                                      </w:rPr>
                                      <w:t>A</w:t>
                                    </w:r>
                                    <w:r w:rsidR="0034684E" w:rsidRPr="0034684E">
                                      <w:rPr>
                                        <w:caps/>
                                        <w:color w:val="A5300F" w:themeColor="accent1"/>
                                        <w:sz w:val="36"/>
                                        <w:szCs w:val="36"/>
                                      </w:rPr>
                                      <w:t xml:space="preserve"> FRAMEWORK FOR FIRST NATIONS IN ONTARIO – INDIGENOUS SERVICES CANADA BILATERAL PARTNERSHIP ON LIFELONG LEARNING</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54187AF2" id="Text Box 154" o:spid="_x0000_s1027" type="#_x0000_t202" style="position:absolute;margin-left:0;margin-top:152.85pt;width:8in;height:286.5pt;z-index:251661312;visibility:visible;mso-wrap-style:square;mso-width-percent:941;mso-height-percent:363;mso-wrap-distance-left:9pt;mso-wrap-distance-top:0;mso-wrap-distance-right:9pt;mso-wrap-distance-bottom:0;mso-position-horizontal:center;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" filled="f" stroked="f" strokeweight=".5pt">
                    <v:textbox inset="126pt,0,54pt,0">
                      <w:txbxContent>
                        <w:p w14:paraId="402DF931" w14:textId="77777777" w:rsidR="0034684E" w:rsidRDefault="0034684E" w:rsidP="0034684E">
                          <w:pPr>
                            <w:jc w:val="right"/>
                            <w:rPr>
                              <w:color w:val="A5300F" w:themeColor="accent1"/>
                              <w:sz w:val="64"/>
                              <w:szCs w:val="64"/>
                            </w:rPr>
                          </w:pPr>
                          <w:r w:rsidRPr="0034684E">
                            <w:rPr>
                              <w:color w:val="A5300F" w:themeColor="accent1"/>
                              <w:sz w:val="64"/>
                              <w:szCs w:val="64"/>
                            </w:rPr>
                            <w:t>Ontario Bilateral Education and Learning Table</w:t>
                          </w:r>
                        </w:p>
                        <w:p w14:paraId="3EBDADDE" w14:textId="77777777" w:rsidR="00267C4F" w:rsidRDefault="005D6B89">
                          <w:pPr>
                            <w:jc w:val="right"/>
                            <w:rPr>
                              <w:smallCaps/>
                              <w:color w:val="404040" w:themeColor="text1" w:themeTint="BF"/>
                              <w:sz w:val="36"/>
                              <w:szCs w:val="36"/>
                            </w:rPr>
                          </w:pPr>
                          <w:sdt>
                            <w:sdtPr>
                              <w:rPr>
                                <w:caps/>
                                <w:color w:val="A5300F" w:themeColor="accent1"/>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34684E">
                                <w:rPr>
                                  <w:caps/>
                                  <w:color w:val="A5300F" w:themeColor="accent1"/>
                                  <w:sz w:val="36"/>
                                  <w:szCs w:val="36"/>
                                </w:rPr>
                                <w:t>A</w:t>
                              </w:r>
                              <w:r w:rsidR="0034684E" w:rsidRPr="0034684E">
                                <w:rPr>
                                  <w:caps/>
                                  <w:color w:val="A5300F" w:themeColor="accent1"/>
                                  <w:sz w:val="36"/>
                                  <w:szCs w:val="36"/>
                                </w:rPr>
                                <w:t xml:space="preserve"> FRAMEWORK FOR FIRST NATIONS IN ONTARIO – INDIGENOUS SERVICES CANADA BILATERAL PARTNERSHIP ON LIFELONG LEARNING</w:t>
                              </w:r>
                            </w:sdtContent>
                          </w:sdt>
                        </w:p>
                      </w:txbxContent>
                    </v:textbox>
                    <w10:wrap type="square" anchorx="margin" anchory="page"/>
                  </v:shape>
                </w:pict>
              </mc:Fallback>
            </mc:AlternateContent>
          </w:r>
          <w:r w:rsidR="00C91A3D">
            <w:rPr>
              <w:noProof/>
            </w:rPr>
            <mc:AlternateContent>
              <mc:Choice Requires="wps">
                <w:drawing>
                  <wp:anchor distT="0" distB="0" distL="114300" distR="114300" simplePos="0" relativeHeight="251662336" behindDoc="0" locked="0" layoutInCell="1" allowOverlap="1" wp14:anchorId="68F48A1D" wp14:editId="086375B9">
                    <wp:simplePos x="0" y="0"/>
                    <wp:positionH relativeFrom="margin">
                      <wp:align>center</wp:align>
                    </wp:positionH>
                    <wp:positionV relativeFrom="page">
                      <wp:posOffset>8707755</wp:posOffset>
                    </wp:positionV>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333959BA" w14:textId="77777777" w:rsidR="00267C4F" w:rsidRDefault="007D7A74">
                                    <w:pPr>
                                      <w:pStyle w:val="NoSpacing"/>
                                      <w:jc w:val="right"/>
                                      <w:rPr>
                                        <w:color w:val="595959" w:themeColor="text1" w:themeTint="A6"/>
                                        <w:sz w:val="28"/>
                                        <w:szCs w:val="28"/>
                                      </w:rPr>
                                    </w:pPr>
                                    <w:r>
                                      <w:rPr>
                                        <w:color w:val="595959" w:themeColor="text1" w:themeTint="A6"/>
                                        <w:sz w:val="28"/>
                                        <w:szCs w:val="28"/>
                                      </w:rPr>
                                      <w:t>COO Chiefs and Technical Committee on Languages and Learning</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68F48A1D" id="Text Box 152" o:spid="_x0000_s1028" type="#_x0000_t202" style="position:absolute;margin-left:0;margin-top:685.65pt;width:8in;height:1in;z-index:251662336;visibility:visible;mso-wrap-style:square;mso-width-percent:941;mso-height-percent:92;mso-wrap-distance-left:9pt;mso-wrap-distance-top:0;mso-wrap-distance-right:9pt;mso-wrap-distance-bottom:0;mso-position-horizontal:center;mso-position-horizontal-relative:margin;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7JgQ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333959BA" w14:textId="77777777" w:rsidR="00267C4F" w:rsidRDefault="007D7A74">
                              <w:pPr>
                                <w:pStyle w:val="NoSpacing"/>
                                <w:jc w:val="right"/>
                                <w:rPr>
                                  <w:color w:val="595959" w:themeColor="text1" w:themeTint="A6"/>
                                  <w:sz w:val="28"/>
                                  <w:szCs w:val="28"/>
                                </w:rPr>
                              </w:pPr>
                              <w:r>
                                <w:rPr>
                                  <w:color w:val="595959" w:themeColor="text1" w:themeTint="A6"/>
                                  <w:sz w:val="28"/>
                                  <w:szCs w:val="28"/>
                                </w:rPr>
                                <w:t>COO Chiefs and Technical Committee on Languages and Learning</w:t>
                              </w:r>
                            </w:p>
                          </w:sdtContent>
                        </w:sdt>
                      </w:txbxContent>
                    </v:textbox>
                    <w10:wrap type="square" anchorx="margin" anchory="page"/>
                  </v:shape>
                </w:pict>
              </mc:Fallback>
            </mc:AlternateContent>
          </w:r>
          <w:r w:rsidR="00C91A3D">
            <w:br w:type="page"/>
          </w:r>
          <w:r w:rsidR="00C91A3D">
            <w:rPr>
              <w:noProof/>
            </w:rPr>
            <w:drawing>
              <wp:anchor distT="0" distB="0" distL="114300" distR="114300" simplePos="0" relativeHeight="251666432" behindDoc="0" locked="1" layoutInCell="1" allowOverlap="1" wp14:anchorId="6AA7DEFF" wp14:editId="4522BD98">
                <wp:simplePos x="0" y="0"/>
                <wp:positionH relativeFrom="margin">
                  <wp:align>center</wp:align>
                </wp:positionH>
                <wp:positionV relativeFrom="paragraph">
                  <wp:posOffset>-236855</wp:posOffset>
                </wp:positionV>
                <wp:extent cx="1306195" cy="1066165"/>
                <wp:effectExtent l="0" t="0" r="8255" b="635"/>
                <wp:wrapNone/>
                <wp:docPr id="3" name="Picture 3" descr="CO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O Logo"/>
                        <pic:cNvPicPr>
                          <a:picLocks noChangeAspect="1" noChangeArrowheads="1"/>
                        </pic:cNvPicPr>
                      </pic:nvPicPr>
                      <pic:blipFill>
                        <a:blip r:embed="rId11" cstate="print">
                          <a:extLst>
                            <a:ext uri="{28A0092B-C50C-407E-A947-70E740481C1C}">
                              <a14:useLocalDpi xmlns:a14="http://schemas.microsoft.com/office/drawing/2010/main" val="0"/>
                            </a:ext>
                          </a:extLst>
                        </a:blip>
                        <a:srcRect r="5077" b="6154"/>
                        <a:stretch>
                          <a:fillRect/>
                        </a:stretch>
                      </pic:blipFill>
                      <pic:spPr bwMode="auto">
                        <a:xfrm>
                          <a:off x="0" y="0"/>
                          <a:ext cx="1306195" cy="106616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sdt>
      <w:sdtPr>
        <w:rPr>
          <w:rFonts w:asciiTheme="minorHAnsi" w:eastAsiaTheme="minorHAnsi" w:hAnsiTheme="minorHAnsi" w:cstheme="minorBidi"/>
          <w:color w:val="auto"/>
          <w:sz w:val="22"/>
          <w:szCs w:val="22"/>
        </w:rPr>
        <w:id w:val="1299340213"/>
        <w:docPartObj>
          <w:docPartGallery w:val="Table of Contents"/>
          <w:docPartUnique/>
        </w:docPartObj>
      </w:sdtPr>
      <w:sdtEndPr>
        <w:rPr>
          <w:b/>
          <w:bCs/>
          <w:noProof/>
        </w:rPr>
      </w:sdtEndPr>
      <w:sdtContent>
        <w:p w14:paraId="0F1FB36E" w14:textId="77777777" w:rsidR="00C91A3D" w:rsidRDefault="00C91A3D">
          <w:pPr>
            <w:pStyle w:val="TOCHeading"/>
          </w:pPr>
          <w:r>
            <w:t>Table of Contents</w:t>
          </w:r>
        </w:p>
        <w:p w14:paraId="4E33347D" w14:textId="77777777" w:rsidR="00BA7723" w:rsidRDefault="00C91A3D">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80871205" w:history="1">
            <w:r w:rsidR="00BA7723" w:rsidRPr="008C22B8">
              <w:rPr>
                <w:rStyle w:val="Hyperlink"/>
                <w:noProof/>
              </w:rPr>
              <w:t>Context for Action/Background:</w:t>
            </w:r>
            <w:r w:rsidR="00BA7723">
              <w:rPr>
                <w:noProof/>
                <w:webHidden/>
              </w:rPr>
              <w:tab/>
            </w:r>
            <w:r w:rsidR="00BA7723">
              <w:rPr>
                <w:noProof/>
                <w:webHidden/>
              </w:rPr>
              <w:fldChar w:fldCharType="begin"/>
            </w:r>
            <w:r w:rsidR="00BA7723">
              <w:rPr>
                <w:noProof/>
                <w:webHidden/>
              </w:rPr>
              <w:instrText xml:space="preserve"> PAGEREF _Toc80871205 \h </w:instrText>
            </w:r>
            <w:r w:rsidR="00BA7723">
              <w:rPr>
                <w:noProof/>
                <w:webHidden/>
              </w:rPr>
            </w:r>
            <w:r w:rsidR="00BA7723">
              <w:rPr>
                <w:noProof/>
                <w:webHidden/>
              </w:rPr>
              <w:fldChar w:fldCharType="separate"/>
            </w:r>
            <w:r w:rsidR="00D036A1">
              <w:rPr>
                <w:noProof/>
                <w:webHidden/>
              </w:rPr>
              <w:t>2</w:t>
            </w:r>
            <w:r w:rsidR="00BA7723">
              <w:rPr>
                <w:noProof/>
                <w:webHidden/>
              </w:rPr>
              <w:fldChar w:fldCharType="end"/>
            </w:r>
          </w:hyperlink>
        </w:p>
        <w:p w14:paraId="1D717BB9" w14:textId="77777777" w:rsidR="00BA7723" w:rsidRDefault="00C34A6C">
          <w:pPr>
            <w:pStyle w:val="TOC2"/>
            <w:tabs>
              <w:tab w:val="right" w:leader="dot" w:pos="9350"/>
            </w:tabs>
            <w:rPr>
              <w:rFonts w:eastAsiaTheme="minorEastAsia"/>
              <w:noProof/>
            </w:rPr>
          </w:pPr>
          <w:hyperlink w:anchor="_Toc80871206" w:history="1">
            <w:r w:rsidR="00BA7723" w:rsidRPr="008C22B8">
              <w:rPr>
                <w:rStyle w:val="Hyperlink"/>
                <w:noProof/>
              </w:rPr>
              <w:t>Considerations:</w:t>
            </w:r>
            <w:r w:rsidR="00BA7723">
              <w:rPr>
                <w:noProof/>
                <w:webHidden/>
              </w:rPr>
              <w:tab/>
            </w:r>
            <w:r w:rsidR="00BA7723">
              <w:rPr>
                <w:noProof/>
                <w:webHidden/>
              </w:rPr>
              <w:fldChar w:fldCharType="begin"/>
            </w:r>
            <w:r w:rsidR="00BA7723">
              <w:rPr>
                <w:noProof/>
                <w:webHidden/>
              </w:rPr>
              <w:instrText xml:space="preserve"> PAGEREF _Toc80871206 \h </w:instrText>
            </w:r>
            <w:r w:rsidR="00BA7723">
              <w:rPr>
                <w:noProof/>
                <w:webHidden/>
              </w:rPr>
            </w:r>
            <w:r w:rsidR="00BA7723">
              <w:rPr>
                <w:noProof/>
                <w:webHidden/>
              </w:rPr>
              <w:fldChar w:fldCharType="separate"/>
            </w:r>
            <w:r w:rsidR="00D036A1">
              <w:rPr>
                <w:noProof/>
                <w:webHidden/>
              </w:rPr>
              <w:t>3</w:t>
            </w:r>
            <w:r w:rsidR="00BA7723">
              <w:rPr>
                <w:noProof/>
                <w:webHidden/>
              </w:rPr>
              <w:fldChar w:fldCharType="end"/>
            </w:r>
          </w:hyperlink>
        </w:p>
        <w:p w14:paraId="25A439A8" w14:textId="77777777" w:rsidR="00BA7723" w:rsidRDefault="00C34A6C">
          <w:pPr>
            <w:pStyle w:val="TOC3"/>
            <w:tabs>
              <w:tab w:val="right" w:leader="dot" w:pos="9350"/>
            </w:tabs>
            <w:rPr>
              <w:rFonts w:eastAsiaTheme="minorEastAsia"/>
              <w:noProof/>
            </w:rPr>
          </w:pPr>
          <w:hyperlink w:anchor="_Toc80871207" w:history="1">
            <w:r w:rsidR="00BA7723" w:rsidRPr="008C22B8">
              <w:rPr>
                <w:rStyle w:val="Hyperlink"/>
                <w:noProof/>
              </w:rPr>
              <w:t>Opportunities</w:t>
            </w:r>
            <w:r w:rsidR="00BA7723">
              <w:rPr>
                <w:noProof/>
                <w:webHidden/>
              </w:rPr>
              <w:tab/>
            </w:r>
            <w:r w:rsidR="00BA7723">
              <w:rPr>
                <w:noProof/>
                <w:webHidden/>
              </w:rPr>
              <w:fldChar w:fldCharType="begin"/>
            </w:r>
            <w:r w:rsidR="00BA7723">
              <w:rPr>
                <w:noProof/>
                <w:webHidden/>
              </w:rPr>
              <w:instrText xml:space="preserve"> PAGEREF _Toc80871207 \h </w:instrText>
            </w:r>
            <w:r w:rsidR="00BA7723">
              <w:rPr>
                <w:noProof/>
                <w:webHidden/>
              </w:rPr>
            </w:r>
            <w:r w:rsidR="00BA7723">
              <w:rPr>
                <w:noProof/>
                <w:webHidden/>
              </w:rPr>
              <w:fldChar w:fldCharType="separate"/>
            </w:r>
            <w:r w:rsidR="00D036A1">
              <w:rPr>
                <w:noProof/>
                <w:webHidden/>
              </w:rPr>
              <w:t>3</w:t>
            </w:r>
            <w:r w:rsidR="00BA7723">
              <w:rPr>
                <w:noProof/>
                <w:webHidden/>
              </w:rPr>
              <w:fldChar w:fldCharType="end"/>
            </w:r>
          </w:hyperlink>
        </w:p>
        <w:p w14:paraId="2844A684" w14:textId="42C7CCF6" w:rsidR="00BA7723" w:rsidRDefault="00125939">
          <w:pPr>
            <w:pStyle w:val="TOC3"/>
            <w:tabs>
              <w:tab w:val="right" w:leader="dot" w:pos="9350"/>
            </w:tabs>
            <w:rPr>
              <w:rFonts w:eastAsiaTheme="minorEastAsia"/>
              <w:noProof/>
            </w:rPr>
          </w:pPr>
          <w:hyperlink w:anchor="_Toc80871208" w:history="1">
            <w:r w:rsidR="00BA7723" w:rsidRPr="008C22B8">
              <w:rPr>
                <w:rStyle w:val="Hyperlink"/>
                <w:noProof/>
              </w:rPr>
              <w:t>Decision-</w:t>
            </w:r>
            <w:r w:rsidR="00AF5E50">
              <w:rPr>
                <w:rStyle w:val="Hyperlink"/>
                <w:noProof/>
              </w:rPr>
              <w:t>M</w:t>
            </w:r>
            <w:r w:rsidR="00BA7723" w:rsidRPr="008C22B8">
              <w:rPr>
                <w:rStyle w:val="Hyperlink"/>
                <w:noProof/>
              </w:rPr>
              <w:t>aking Processes</w:t>
            </w:r>
            <w:r w:rsidR="00BA7723">
              <w:rPr>
                <w:noProof/>
                <w:webHidden/>
              </w:rPr>
              <w:tab/>
            </w:r>
            <w:r w:rsidR="00BA7723">
              <w:rPr>
                <w:noProof/>
                <w:webHidden/>
              </w:rPr>
              <w:fldChar w:fldCharType="begin"/>
            </w:r>
            <w:r w:rsidR="00BA7723">
              <w:rPr>
                <w:noProof/>
                <w:webHidden/>
              </w:rPr>
              <w:instrText xml:space="preserve"> PAGEREF _Toc80871208 \h </w:instrText>
            </w:r>
            <w:r w:rsidR="00BA7723">
              <w:rPr>
                <w:noProof/>
                <w:webHidden/>
              </w:rPr>
            </w:r>
            <w:r w:rsidR="00BA7723">
              <w:rPr>
                <w:noProof/>
                <w:webHidden/>
              </w:rPr>
              <w:fldChar w:fldCharType="separate"/>
            </w:r>
            <w:r w:rsidR="00D036A1">
              <w:rPr>
                <w:noProof/>
                <w:webHidden/>
              </w:rPr>
              <w:t>4</w:t>
            </w:r>
            <w:r w:rsidR="00BA7723">
              <w:rPr>
                <w:noProof/>
                <w:webHidden/>
              </w:rPr>
              <w:fldChar w:fldCharType="end"/>
            </w:r>
          </w:hyperlink>
        </w:p>
        <w:p w14:paraId="6CB4F08A" w14:textId="77777777" w:rsidR="00BA7723" w:rsidRDefault="00C34A6C">
          <w:pPr>
            <w:pStyle w:val="TOC3"/>
            <w:tabs>
              <w:tab w:val="right" w:leader="dot" w:pos="9350"/>
            </w:tabs>
            <w:rPr>
              <w:rFonts w:eastAsiaTheme="minorEastAsia"/>
              <w:noProof/>
            </w:rPr>
          </w:pPr>
          <w:hyperlink w:anchor="_Toc80871209" w:history="1">
            <w:r w:rsidR="00BA7723" w:rsidRPr="008C22B8">
              <w:rPr>
                <w:rStyle w:val="Hyperlink"/>
                <w:noProof/>
              </w:rPr>
              <w:t>Acronyms &amp; Terminology</w:t>
            </w:r>
            <w:r w:rsidR="00BA7723">
              <w:rPr>
                <w:noProof/>
                <w:webHidden/>
              </w:rPr>
              <w:tab/>
            </w:r>
            <w:r w:rsidR="00BA7723">
              <w:rPr>
                <w:noProof/>
                <w:webHidden/>
              </w:rPr>
              <w:fldChar w:fldCharType="begin"/>
            </w:r>
            <w:r w:rsidR="00BA7723">
              <w:rPr>
                <w:noProof/>
                <w:webHidden/>
              </w:rPr>
              <w:instrText xml:space="preserve"> PAGEREF _Toc80871209 \h </w:instrText>
            </w:r>
            <w:r w:rsidR="00BA7723">
              <w:rPr>
                <w:noProof/>
                <w:webHidden/>
              </w:rPr>
            </w:r>
            <w:r w:rsidR="00BA7723">
              <w:rPr>
                <w:noProof/>
                <w:webHidden/>
              </w:rPr>
              <w:fldChar w:fldCharType="separate"/>
            </w:r>
            <w:r w:rsidR="00D036A1">
              <w:rPr>
                <w:noProof/>
                <w:webHidden/>
              </w:rPr>
              <w:t>5</w:t>
            </w:r>
            <w:r w:rsidR="00BA7723">
              <w:rPr>
                <w:noProof/>
                <w:webHidden/>
              </w:rPr>
              <w:fldChar w:fldCharType="end"/>
            </w:r>
          </w:hyperlink>
        </w:p>
        <w:p w14:paraId="747CCF1F" w14:textId="77777777" w:rsidR="00BA7723" w:rsidRDefault="00C34A6C">
          <w:pPr>
            <w:pStyle w:val="TOC3"/>
            <w:tabs>
              <w:tab w:val="right" w:leader="dot" w:pos="9350"/>
            </w:tabs>
            <w:rPr>
              <w:rFonts w:eastAsiaTheme="minorEastAsia"/>
              <w:noProof/>
            </w:rPr>
          </w:pPr>
          <w:hyperlink w:anchor="_Toc80871210" w:history="1">
            <w:r w:rsidR="00BA7723" w:rsidRPr="008C22B8">
              <w:rPr>
                <w:rStyle w:val="Hyperlink"/>
                <w:noProof/>
              </w:rPr>
              <w:t>Connections</w:t>
            </w:r>
            <w:r w:rsidR="00BA7723">
              <w:rPr>
                <w:noProof/>
                <w:webHidden/>
              </w:rPr>
              <w:tab/>
            </w:r>
            <w:r w:rsidR="00BA7723">
              <w:rPr>
                <w:noProof/>
                <w:webHidden/>
              </w:rPr>
              <w:fldChar w:fldCharType="begin"/>
            </w:r>
            <w:r w:rsidR="00BA7723">
              <w:rPr>
                <w:noProof/>
                <w:webHidden/>
              </w:rPr>
              <w:instrText xml:space="preserve"> PAGEREF _Toc80871210 \h </w:instrText>
            </w:r>
            <w:r w:rsidR="00BA7723">
              <w:rPr>
                <w:noProof/>
                <w:webHidden/>
              </w:rPr>
            </w:r>
            <w:r w:rsidR="00BA7723">
              <w:rPr>
                <w:noProof/>
                <w:webHidden/>
              </w:rPr>
              <w:fldChar w:fldCharType="separate"/>
            </w:r>
            <w:r w:rsidR="00D036A1">
              <w:rPr>
                <w:noProof/>
                <w:webHidden/>
              </w:rPr>
              <w:t>6</w:t>
            </w:r>
            <w:r w:rsidR="00BA7723">
              <w:rPr>
                <w:noProof/>
                <w:webHidden/>
              </w:rPr>
              <w:fldChar w:fldCharType="end"/>
            </w:r>
          </w:hyperlink>
        </w:p>
        <w:p w14:paraId="7322D52A" w14:textId="77777777" w:rsidR="00BA7723" w:rsidRDefault="00C34A6C">
          <w:pPr>
            <w:pStyle w:val="TOC2"/>
            <w:tabs>
              <w:tab w:val="right" w:leader="dot" w:pos="9350"/>
            </w:tabs>
            <w:rPr>
              <w:rFonts w:eastAsiaTheme="minorEastAsia"/>
              <w:noProof/>
            </w:rPr>
          </w:pPr>
          <w:hyperlink w:anchor="_Toc80871211" w:history="1">
            <w:r w:rsidR="00BA7723" w:rsidRPr="008C22B8">
              <w:rPr>
                <w:rStyle w:val="Hyperlink"/>
                <w:noProof/>
              </w:rPr>
              <w:t>Principles:</w:t>
            </w:r>
            <w:r w:rsidR="00BA7723">
              <w:rPr>
                <w:noProof/>
                <w:webHidden/>
              </w:rPr>
              <w:tab/>
            </w:r>
            <w:r w:rsidR="00BA7723">
              <w:rPr>
                <w:noProof/>
                <w:webHidden/>
              </w:rPr>
              <w:fldChar w:fldCharType="begin"/>
            </w:r>
            <w:r w:rsidR="00BA7723">
              <w:rPr>
                <w:noProof/>
                <w:webHidden/>
              </w:rPr>
              <w:instrText xml:space="preserve"> PAGEREF _Toc80871211 \h </w:instrText>
            </w:r>
            <w:r w:rsidR="00BA7723">
              <w:rPr>
                <w:noProof/>
                <w:webHidden/>
              </w:rPr>
            </w:r>
            <w:r w:rsidR="00BA7723">
              <w:rPr>
                <w:noProof/>
                <w:webHidden/>
              </w:rPr>
              <w:fldChar w:fldCharType="separate"/>
            </w:r>
            <w:r w:rsidR="00D036A1">
              <w:rPr>
                <w:noProof/>
                <w:webHidden/>
              </w:rPr>
              <w:t>6</w:t>
            </w:r>
            <w:r w:rsidR="00BA7723">
              <w:rPr>
                <w:noProof/>
                <w:webHidden/>
              </w:rPr>
              <w:fldChar w:fldCharType="end"/>
            </w:r>
          </w:hyperlink>
        </w:p>
        <w:p w14:paraId="1A58A4AC" w14:textId="77777777" w:rsidR="00BA7723" w:rsidRDefault="00C34A6C">
          <w:pPr>
            <w:pStyle w:val="TOC2"/>
            <w:tabs>
              <w:tab w:val="right" w:leader="dot" w:pos="9350"/>
            </w:tabs>
            <w:rPr>
              <w:rFonts w:eastAsiaTheme="minorEastAsia"/>
              <w:noProof/>
            </w:rPr>
          </w:pPr>
          <w:hyperlink w:anchor="_Toc80871212" w:history="1">
            <w:r w:rsidR="00BA7723" w:rsidRPr="008C22B8">
              <w:rPr>
                <w:rStyle w:val="Hyperlink"/>
                <w:noProof/>
              </w:rPr>
              <w:t>Purpose/Objectives/Pillars:</w:t>
            </w:r>
            <w:r w:rsidR="00BA7723">
              <w:rPr>
                <w:noProof/>
                <w:webHidden/>
              </w:rPr>
              <w:tab/>
            </w:r>
            <w:r w:rsidR="00BA7723">
              <w:rPr>
                <w:noProof/>
                <w:webHidden/>
              </w:rPr>
              <w:fldChar w:fldCharType="begin"/>
            </w:r>
            <w:r w:rsidR="00BA7723">
              <w:rPr>
                <w:noProof/>
                <w:webHidden/>
              </w:rPr>
              <w:instrText xml:space="preserve"> PAGEREF _Toc80871212 \h </w:instrText>
            </w:r>
            <w:r w:rsidR="00BA7723">
              <w:rPr>
                <w:noProof/>
                <w:webHidden/>
              </w:rPr>
            </w:r>
            <w:r w:rsidR="00BA7723">
              <w:rPr>
                <w:noProof/>
                <w:webHidden/>
              </w:rPr>
              <w:fldChar w:fldCharType="separate"/>
            </w:r>
            <w:r w:rsidR="00D036A1">
              <w:rPr>
                <w:noProof/>
                <w:webHidden/>
              </w:rPr>
              <w:t>7</w:t>
            </w:r>
            <w:r w:rsidR="00BA7723">
              <w:rPr>
                <w:noProof/>
                <w:webHidden/>
              </w:rPr>
              <w:fldChar w:fldCharType="end"/>
            </w:r>
          </w:hyperlink>
        </w:p>
        <w:p w14:paraId="55B20A10" w14:textId="77777777" w:rsidR="00BA7723" w:rsidRDefault="00C34A6C">
          <w:pPr>
            <w:pStyle w:val="TOC2"/>
            <w:tabs>
              <w:tab w:val="right" w:leader="dot" w:pos="9350"/>
            </w:tabs>
            <w:rPr>
              <w:rFonts w:eastAsiaTheme="minorEastAsia"/>
              <w:noProof/>
            </w:rPr>
          </w:pPr>
          <w:hyperlink w:anchor="_Toc80871213" w:history="1">
            <w:r w:rsidR="00BA7723" w:rsidRPr="008C22B8">
              <w:rPr>
                <w:rStyle w:val="Hyperlink"/>
                <w:noProof/>
              </w:rPr>
              <w:t>Scope:</w:t>
            </w:r>
            <w:r w:rsidR="00BA7723">
              <w:rPr>
                <w:noProof/>
                <w:webHidden/>
              </w:rPr>
              <w:tab/>
            </w:r>
            <w:r w:rsidR="00BA7723">
              <w:rPr>
                <w:noProof/>
                <w:webHidden/>
              </w:rPr>
              <w:fldChar w:fldCharType="begin"/>
            </w:r>
            <w:r w:rsidR="00BA7723">
              <w:rPr>
                <w:noProof/>
                <w:webHidden/>
              </w:rPr>
              <w:instrText xml:space="preserve"> PAGEREF _Toc80871213 \h </w:instrText>
            </w:r>
            <w:r w:rsidR="00BA7723">
              <w:rPr>
                <w:noProof/>
                <w:webHidden/>
              </w:rPr>
            </w:r>
            <w:r w:rsidR="00BA7723">
              <w:rPr>
                <w:noProof/>
                <w:webHidden/>
              </w:rPr>
              <w:fldChar w:fldCharType="separate"/>
            </w:r>
            <w:r w:rsidR="00D036A1">
              <w:rPr>
                <w:noProof/>
                <w:webHidden/>
              </w:rPr>
              <w:t>7</w:t>
            </w:r>
            <w:r w:rsidR="00BA7723">
              <w:rPr>
                <w:noProof/>
                <w:webHidden/>
              </w:rPr>
              <w:fldChar w:fldCharType="end"/>
            </w:r>
          </w:hyperlink>
        </w:p>
        <w:p w14:paraId="2A38EEC4" w14:textId="77777777" w:rsidR="00BA7723" w:rsidRDefault="00C34A6C">
          <w:pPr>
            <w:pStyle w:val="TOC2"/>
            <w:tabs>
              <w:tab w:val="right" w:leader="dot" w:pos="9350"/>
            </w:tabs>
            <w:rPr>
              <w:rFonts w:eastAsiaTheme="minorEastAsia"/>
              <w:noProof/>
            </w:rPr>
          </w:pPr>
          <w:hyperlink w:anchor="_Toc80871214" w:history="1">
            <w:r w:rsidR="00BA7723" w:rsidRPr="008C22B8">
              <w:rPr>
                <w:rStyle w:val="Hyperlink"/>
                <w:noProof/>
              </w:rPr>
              <w:t>Proposed Structure and Responsibilities:</w:t>
            </w:r>
            <w:r w:rsidR="00BA7723">
              <w:rPr>
                <w:noProof/>
                <w:webHidden/>
              </w:rPr>
              <w:tab/>
            </w:r>
            <w:r w:rsidR="00BA7723">
              <w:rPr>
                <w:noProof/>
                <w:webHidden/>
              </w:rPr>
              <w:fldChar w:fldCharType="begin"/>
            </w:r>
            <w:r w:rsidR="00BA7723">
              <w:rPr>
                <w:noProof/>
                <w:webHidden/>
              </w:rPr>
              <w:instrText xml:space="preserve"> PAGEREF _Toc80871214 \h </w:instrText>
            </w:r>
            <w:r w:rsidR="00BA7723">
              <w:rPr>
                <w:noProof/>
                <w:webHidden/>
              </w:rPr>
            </w:r>
            <w:r w:rsidR="00BA7723">
              <w:rPr>
                <w:noProof/>
                <w:webHidden/>
              </w:rPr>
              <w:fldChar w:fldCharType="separate"/>
            </w:r>
            <w:r w:rsidR="00D036A1">
              <w:rPr>
                <w:noProof/>
                <w:webHidden/>
              </w:rPr>
              <w:t>8</w:t>
            </w:r>
            <w:r w:rsidR="00BA7723">
              <w:rPr>
                <w:noProof/>
                <w:webHidden/>
              </w:rPr>
              <w:fldChar w:fldCharType="end"/>
            </w:r>
          </w:hyperlink>
        </w:p>
        <w:p w14:paraId="652C9EB5" w14:textId="77777777" w:rsidR="00BA7723" w:rsidRDefault="00C34A6C">
          <w:pPr>
            <w:pStyle w:val="TOC2"/>
            <w:tabs>
              <w:tab w:val="right" w:leader="dot" w:pos="9350"/>
            </w:tabs>
            <w:rPr>
              <w:rFonts w:eastAsiaTheme="minorEastAsia"/>
              <w:noProof/>
            </w:rPr>
          </w:pPr>
          <w:hyperlink w:anchor="_Toc80871215" w:history="1">
            <w:r w:rsidR="00BA7723" w:rsidRPr="008C22B8">
              <w:rPr>
                <w:rStyle w:val="Hyperlink"/>
                <w:noProof/>
              </w:rPr>
              <w:t>Funding Requirements:</w:t>
            </w:r>
            <w:r w:rsidR="00BA7723">
              <w:rPr>
                <w:noProof/>
                <w:webHidden/>
              </w:rPr>
              <w:tab/>
            </w:r>
            <w:r w:rsidR="00BA7723">
              <w:rPr>
                <w:noProof/>
                <w:webHidden/>
              </w:rPr>
              <w:fldChar w:fldCharType="begin"/>
            </w:r>
            <w:r w:rsidR="00BA7723">
              <w:rPr>
                <w:noProof/>
                <w:webHidden/>
              </w:rPr>
              <w:instrText xml:space="preserve"> PAGEREF _Toc80871215 \h </w:instrText>
            </w:r>
            <w:r w:rsidR="00BA7723">
              <w:rPr>
                <w:noProof/>
                <w:webHidden/>
              </w:rPr>
            </w:r>
            <w:r w:rsidR="00BA7723">
              <w:rPr>
                <w:noProof/>
                <w:webHidden/>
              </w:rPr>
              <w:fldChar w:fldCharType="separate"/>
            </w:r>
            <w:r w:rsidR="00D036A1">
              <w:rPr>
                <w:noProof/>
                <w:webHidden/>
              </w:rPr>
              <w:t>9</w:t>
            </w:r>
            <w:r w:rsidR="00BA7723">
              <w:rPr>
                <w:noProof/>
                <w:webHidden/>
              </w:rPr>
              <w:fldChar w:fldCharType="end"/>
            </w:r>
          </w:hyperlink>
        </w:p>
        <w:p w14:paraId="7BD166DC" w14:textId="77777777" w:rsidR="00BA7723" w:rsidRDefault="00C34A6C">
          <w:pPr>
            <w:pStyle w:val="TOC2"/>
            <w:tabs>
              <w:tab w:val="right" w:leader="dot" w:pos="9350"/>
            </w:tabs>
            <w:rPr>
              <w:rFonts w:eastAsiaTheme="minorEastAsia"/>
              <w:noProof/>
            </w:rPr>
          </w:pPr>
          <w:hyperlink w:anchor="_Toc80871216" w:history="1">
            <w:r w:rsidR="00BA7723" w:rsidRPr="008C22B8">
              <w:rPr>
                <w:rStyle w:val="Hyperlink"/>
                <w:noProof/>
              </w:rPr>
              <w:t>Proposed Next Steps:</w:t>
            </w:r>
            <w:r w:rsidR="00BA7723">
              <w:rPr>
                <w:noProof/>
                <w:webHidden/>
              </w:rPr>
              <w:tab/>
            </w:r>
            <w:r w:rsidR="00BA7723">
              <w:rPr>
                <w:noProof/>
                <w:webHidden/>
              </w:rPr>
              <w:fldChar w:fldCharType="begin"/>
            </w:r>
            <w:r w:rsidR="00BA7723">
              <w:rPr>
                <w:noProof/>
                <w:webHidden/>
              </w:rPr>
              <w:instrText xml:space="preserve"> PAGEREF _Toc80871216 \h </w:instrText>
            </w:r>
            <w:r w:rsidR="00BA7723">
              <w:rPr>
                <w:noProof/>
                <w:webHidden/>
              </w:rPr>
            </w:r>
            <w:r w:rsidR="00BA7723">
              <w:rPr>
                <w:noProof/>
                <w:webHidden/>
              </w:rPr>
              <w:fldChar w:fldCharType="separate"/>
            </w:r>
            <w:r w:rsidR="00D036A1">
              <w:rPr>
                <w:noProof/>
                <w:webHidden/>
              </w:rPr>
              <w:t>9</w:t>
            </w:r>
            <w:r w:rsidR="00BA7723">
              <w:rPr>
                <w:noProof/>
                <w:webHidden/>
              </w:rPr>
              <w:fldChar w:fldCharType="end"/>
            </w:r>
          </w:hyperlink>
        </w:p>
        <w:p w14:paraId="2B63EF59" w14:textId="77777777" w:rsidR="00C91A3D" w:rsidRDefault="00C91A3D">
          <w:r>
            <w:rPr>
              <w:b/>
              <w:bCs/>
              <w:noProof/>
            </w:rPr>
            <w:fldChar w:fldCharType="end"/>
          </w:r>
        </w:p>
      </w:sdtContent>
    </w:sdt>
    <w:p w14:paraId="33E1F2B0" w14:textId="77777777" w:rsidR="002F13EE" w:rsidRDefault="002F13EE">
      <w:r>
        <w:br w:type="page"/>
      </w:r>
    </w:p>
    <w:p w14:paraId="7E281D1B" w14:textId="77777777" w:rsidR="00F7120C" w:rsidRDefault="00251E54" w:rsidP="00D860C5">
      <w:pPr>
        <w:pStyle w:val="Heading2"/>
      </w:pPr>
      <w:bookmarkStart w:id="1" w:name="_Toc80871205"/>
      <w:r>
        <w:lastRenderedPageBreak/>
        <w:t>Context for Action</w:t>
      </w:r>
      <w:r w:rsidR="00127995">
        <w:t>/Background</w:t>
      </w:r>
      <w:r w:rsidR="007E6613">
        <w:t>:</w:t>
      </w:r>
      <w:bookmarkEnd w:id="1"/>
    </w:p>
    <w:p w14:paraId="63F18679" w14:textId="56422207" w:rsidR="0085461E" w:rsidRDefault="0085461E" w:rsidP="00193B4F">
      <w:pPr>
        <w:spacing w:line="276" w:lineRule="auto"/>
      </w:pPr>
      <w:r>
        <w:t xml:space="preserve">‘Our children are our future’ </w:t>
      </w:r>
      <w:r w:rsidR="007C08C9">
        <w:t xml:space="preserve">and ‘First Nation control over First Nation education’ are </w:t>
      </w:r>
      <w:r>
        <w:t xml:space="preserve">commonly heard </w:t>
      </w:r>
      <w:r w:rsidR="007C08C9">
        <w:t xml:space="preserve">phrases </w:t>
      </w:r>
      <w:r>
        <w:t>in discussions on education among First Nations</w:t>
      </w:r>
      <w:r w:rsidR="007C08C9">
        <w:t xml:space="preserve"> in Ontario</w:t>
      </w:r>
      <w:r w:rsidR="0096618C">
        <w:t xml:space="preserve"> and in the myriad education and learning related activities of the Chiefs of Ontario</w:t>
      </w:r>
      <w:r w:rsidR="0035542F">
        <w:t xml:space="preserve"> (COO)</w:t>
      </w:r>
      <w:r w:rsidR="007C08C9">
        <w:t>.</w:t>
      </w:r>
      <w:r w:rsidR="007754B5">
        <w:t xml:space="preserve"> </w:t>
      </w:r>
      <w:r w:rsidR="003D3FDA">
        <w:t>T</w:t>
      </w:r>
      <w:r w:rsidR="007754B5">
        <w:t xml:space="preserve">he </w:t>
      </w:r>
      <w:r w:rsidR="003D3FDA">
        <w:t xml:space="preserve">COO </w:t>
      </w:r>
      <w:r w:rsidR="004074C3">
        <w:t xml:space="preserve">Chiefs </w:t>
      </w:r>
      <w:r w:rsidR="00C40883">
        <w:t xml:space="preserve">and </w:t>
      </w:r>
      <w:r w:rsidR="004074C3">
        <w:t xml:space="preserve">Technical Committee on Languages </w:t>
      </w:r>
      <w:r w:rsidR="00C40883">
        <w:t>and</w:t>
      </w:r>
      <w:r w:rsidR="004074C3">
        <w:t xml:space="preserve"> Learning (CTCLL</w:t>
      </w:r>
      <w:r w:rsidR="000D1EDE">
        <w:t>)</w:t>
      </w:r>
      <w:r w:rsidR="003D3FDA">
        <w:t xml:space="preserve"> guides the activities of the COO Education Sector. The CTCLL </w:t>
      </w:r>
      <w:r w:rsidR="007754B5">
        <w:t>includes representati</w:t>
      </w:r>
      <w:r w:rsidR="00AF5E50">
        <w:t>ves</w:t>
      </w:r>
      <w:r w:rsidR="007754B5">
        <w:t xml:space="preserve"> from Grand Council Treaty #3, </w:t>
      </w:r>
      <w:proofErr w:type="spellStart"/>
      <w:r w:rsidR="007754B5">
        <w:t>Nishnawbe</w:t>
      </w:r>
      <w:proofErr w:type="spellEnd"/>
      <w:r w:rsidR="007754B5">
        <w:t xml:space="preserve"> </w:t>
      </w:r>
      <w:proofErr w:type="spellStart"/>
      <w:r w:rsidR="007754B5">
        <w:t>Aski</w:t>
      </w:r>
      <w:proofErr w:type="spellEnd"/>
      <w:r w:rsidR="007754B5">
        <w:t xml:space="preserve"> Nation, Anishinabek Nation, Association of Iroquois and Allied Indians, Independent First Nations, </w:t>
      </w:r>
      <w:proofErr w:type="spellStart"/>
      <w:r w:rsidR="004074C3">
        <w:t>Mushgekowuk</w:t>
      </w:r>
      <w:proofErr w:type="spellEnd"/>
      <w:r w:rsidR="004074C3">
        <w:t xml:space="preserve"> Council, Mohawks of Akwesasne, Six Nations of the Grand River and other interested unaffiliated First Nation</w:t>
      </w:r>
      <w:r w:rsidR="00D55C22">
        <w:t>s</w:t>
      </w:r>
      <w:r w:rsidR="004074C3">
        <w:t>.</w:t>
      </w:r>
    </w:p>
    <w:p w14:paraId="43C0BEED" w14:textId="6BA03245" w:rsidR="0085461E" w:rsidRPr="00064FF6" w:rsidRDefault="0077188C" w:rsidP="00193B4F">
      <w:pPr>
        <w:spacing w:line="276" w:lineRule="auto"/>
      </w:pPr>
      <w:r>
        <w:t>Over the past decades, m</w:t>
      </w:r>
      <w:r w:rsidR="007754B5">
        <w:t xml:space="preserve">any activities of the </w:t>
      </w:r>
      <w:r w:rsidR="004074C3">
        <w:t>CTCLL</w:t>
      </w:r>
      <w:r w:rsidR="007754B5">
        <w:t xml:space="preserve"> have focused on addressing the c</w:t>
      </w:r>
      <w:r w:rsidR="0085461E">
        <w:t>hronic underfunding of First Nations education</w:t>
      </w:r>
      <w:r w:rsidR="007754B5">
        <w:t xml:space="preserve"> and recovering control over our own lifelong learning education systems</w:t>
      </w:r>
      <w:r w:rsidR="0085461E">
        <w:t xml:space="preserve">. </w:t>
      </w:r>
      <w:r w:rsidR="00D848C7">
        <w:t>Currently the federal government controls most of the education funding and programming for First Nations education in First Nation communities and the province controls most of the education funding and programming for First Nation students that attend the provincial education system</w:t>
      </w:r>
      <w:r w:rsidR="00CC32D1">
        <w:t>. Historic funding issues include, but are not limited to</w:t>
      </w:r>
      <w:r w:rsidR="0096618C">
        <w:t>,</w:t>
      </w:r>
      <w:r w:rsidR="00CC32D1">
        <w:t xml:space="preserve"> ina</w:t>
      </w:r>
      <w:r w:rsidR="0085461E" w:rsidRPr="00064FF6">
        <w:t xml:space="preserve">dequate funding for </w:t>
      </w:r>
      <w:r w:rsidR="00CC32D1">
        <w:t>second and third</w:t>
      </w:r>
      <w:r w:rsidR="0085461E" w:rsidRPr="00064FF6">
        <w:t xml:space="preserve"> level services and structures</w:t>
      </w:r>
      <w:r w:rsidR="00CC32D1">
        <w:t xml:space="preserve">, </w:t>
      </w:r>
      <w:r w:rsidR="0085461E" w:rsidRPr="00064FF6">
        <w:t>capital, infrastructure</w:t>
      </w:r>
      <w:r w:rsidR="00CC32D1">
        <w:t xml:space="preserve"> and</w:t>
      </w:r>
      <w:r w:rsidR="0085461E" w:rsidRPr="00064FF6">
        <w:t xml:space="preserve"> technology</w:t>
      </w:r>
      <w:r w:rsidR="00CC32D1">
        <w:t xml:space="preserve">, </w:t>
      </w:r>
      <w:r w:rsidR="0096618C">
        <w:t xml:space="preserve">and </w:t>
      </w:r>
      <w:r w:rsidR="00CC32D1">
        <w:t xml:space="preserve">supporting post-secondary </w:t>
      </w:r>
      <w:r w:rsidR="003D3FDA">
        <w:t xml:space="preserve">learners and Indigenous </w:t>
      </w:r>
      <w:r w:rsidR="00CC32D1">
        <w:t>institut</w:t>
      </w:r>
      <w:r w:rsidR="00AF5E50">
        <w:t>ions</w:t>
      </w:r>
      <w:r w:rsidR="00CC32D1">
        <w:t>.</w:t>
      </w:r>
    </w:p>
    <w:p w14:paraId="5469644F" w14:textId="3F71880C" w:rsidR="00FC6076" w:rsidRDefault="00CC32D1" w:rsidP="00193B4F">
      <w:pPr>
        <w:spacing w:after="0" w:line="276" w:lineRule="auto"/>
      </w:pPr>
      <w:r>
        <w:t xml:space="preserve">COO </w:t>
      </w:r>
      <w:r w:rsidR="00CB4139">
        <w:t>has historically provided</w:t>
      </w:r>
      <w:r>
        <w:t xml:space="preserve"> representation to national committees at the </w:t>
      </w:r>
      <w:r w:rsidR="00C50AAE">
        <w:t>Assembly of First Nations (</w:t>
      </w:r>
      <w:r>
        <w:t>AFN</w:t>
      </w:r>
      <w:r w:rsidR="00C50AAE">
        <w:t>)</w:t>
      </w:r>
      <w:r>
        <w:t xml:space="preserve"> to assist with broad</w:t>
      </w:r>
      <w:r w:rsidR="0077188C">
        <w:t>-</w:t>
      </w:r>
      <w:r>
        <w:t xml:space="preserve">scale </w:t>
      </w:r>
      <w:r w:rsidR="00C50AAE">
        <w:t xml:space="preserve">education </w:t>
      </w:r>
      <w:r>
        <w:t>issues with the federal government</w:t>
      </w:r>
      <w:r w:rsidR="00C50AAE">
        <w:t>. C</w:t>
      </w:r>
      <w:r>
        <w:t xml:space="preserve">OO </w:t>
      </w:r>
      <w:proofErr w:type="gramStart"/>
      <w:r>
        <w:t>representatives</w:t>
      </w:r>
      <w:proofErr w:type="gramEnd"/>
      <w:r>
        <w:t xml:space="preserve"> </w:t>
      </w:r>
      <w:r w:rsidR="00C50AAE">
        <w:t xml:space="preserve">to the AFN </w:t>
      </w:r>
      <w:r w:rsidR="0035542F">
        <w:t xml:space="preserve">education </w:t>
      </w:r>
      <w:r w:rsidR="00C50AAE">
        <w:t xml:space="preserve">committees </w:t>
      </w:r>
      <w:r w:rsidR="00CB4139">
        <w:t xml:space="preserve">would </w:t>
      </w:r>
      <w:r>
        <w:t xml:space="preserve">report back to the </w:t>
      </w:r>
      <w:r w:rsidR="0035542F">
        <w:t xml:space="preserve">COO Education Sector and the </w:t>
      </w:r>
      <w:r w:rsidR="004074C3">
        <w:t>CTCLL</w:t>
      </w:r>
      <w:r>
        <w:t xml:space="preserve"> on a regular basis. </w:t>
      </w:r>
      <w:r w:rsidR="00C50AAE">
        <w:t>I</w:t>
      </w:r>
      <w:r>
        <w:t xml:space="preserve">n </w:t>
      </w:r>
      <w:r w:rsidR="0085461E" w:rsidRPr="006E219D">
        <w:t>November 2020</w:t>
      </w:r>
      <w:r w:rsidR="0077188C">
        <w:t>,</w:t>
      </w:r>
      <w:r w:rsidR="0085461E" w:rsidRPr="006E219D">
        <w:t xml:space="preserve"> </w:t>
      </w:r>
      <w:r w:rsidR="0035542F">
        <w:t>COO</w:t>
      </w:r>
      <w:r w:rsidR="0085461E" w:rsidRPr="006E219D">
        <w:t xml:space="preserve"> withdrew Ontario’s </w:t>
      </w:r>
      <w:r w:rsidR="00C50AAE">
        <w:t>participation in</w:t>
      </w:r>
      <w:r w:rsidR="0085461E" w:rsidRPr="006E219D">
        <w:t xml:space="preserve"> the AFN Chiefs Committee on Education (AFN CCOE) and the AFN National Indian Education Council (AFN NIEC) due to lack of consideration for the funding needs of First Nations in Ontario and a flawed decision-making process</w:t>
      </w:r>
      <w:r w:rsidR="00C50AAE">
        <w:t>. It was deemed the decision-making process</w:t>
      </w:r>
      <w:r w:rsidR="0085461E" w:rsidRPr="006E219D">
        <w:t xml:space="preserve"> pits </w:t>
      </w:r>
      <w:r>
        <w:t xml:space="preserve">First Nation </w:t>
      </w:r>
      <w:r w:rsidR="0085461E" w:rsidRPr="006E219D">
        <w:t>Regions against one another.</w:t>
      </w:r>
      <w:r>
        <w:t xml:space="preserve"> In December 2020</w:t>
      </w:r>
      <w:r w:rsidR="0077188C">
        <w:t>,</w:t>
      </w:r>
      <w:r>
        <w:t xml:space="preserve"> </w:t>
      </w:r>
      <w:r w:rsidR="00C50AAE">
        <w:t>c</w:t>
      </w:r>
      <w:r>
        <w:t>ommunication was se</w:t>
      </w:r>
      <w:r w:rsidR="00C50AAE">
        <w:t>n</w:t>
      </w:r>
      <w:r>
        <w:t xml:space="preserve">t from the Ontario Regional Chief to the Minister of </w:t>
      </w:r>
      <w:r w:rsidR="00FC6076">
        <w:t>ISC</w:t>
      </w:r>
      <w:r>
        <w:t xml:space="preserve"> r</w:t>
      </w:r>
      <w:r w:rsidR="0085461E" w:rsidRPr="006E219D">
        <w:t>equesting establishment of a bilateral process between First Nations</w:t>
      </w:r>
      <w:r w:rsidR="00472504">
        <w:t xml:space="preserve"> in Ontario</w:t>
      </w:r>
      <w:r w:rsidR="0085461E" w:rsidRPr="006E219D">
        <w:t xml:space="preserve"> and </w:t>
      </w:r>
      <w:r>
        <w:t>ISC</w:t>
      </w:r>
      <w:r w:rsidR="00C50AAE">
        <w:t xml:space="preserve"> to directly address the unique and diverse needs of the First Nations in Ontario</w:t>
      </w:r>
      <w:r w:rsidR="00472504">
        <w:t xml:space="preserve"> related to education and learning.</w:t>
      </w:r>
      <w:r w:rsidR="0085461E" w:rsidRPr="006E219D">
        <w:t xml:space="preserve">  </w:t>
      </w:r>
    </w:p>
    <w:p w14:paraId="017D03DD" w14:textId="54D4C3EF" w:rsidR="000E5F61" w:rsidRDefault="000E5F61" w:rsidP="00193B4F">
      <w:pPr>
        <w:spacing w:after="0" w:line="276" w:lineRule="auto"/>
      </w:pPr>
    </w:p>
    <w:p w14:paraId="52CC45C4" w14:textId="7A75651B" w:rsidR="00307ADC" w:rsidRDefault="00FC6076" w:rsidP="00193B4F">
      <w:pPr>
        <w:spacing w:after="0" w:line="276" w:lineRule="auto"/>
      </w:pPr>
      <w:r>
        <w:t xml:space="preserve">In </w:t>
      </w:r>
      <w:r w:rsidR="0085461E" w:rsidRPr="006E219D">
        <w:t>February 2021</w:t>
      </w:r>
      <w:r w:rsidR="0077188C">
        <w:t>,</w:t>
      </w:r>
      <w:r w:rsidR="0085461E" w:rsidRPr="006E219D">
        <w:t xml:space="preserve"> </w:t>
      </w:r>
      <w:r>
        <w:t xml:space="preserve">COO </w:t>
      </w:r>
      <w:r w:rsidR="0085461E" w:rsidRPr="006E219D">
        <w:t>Resolution 21/07 mandate</w:t>
      </w:r>
      <w:r w:rsidR="00AF5E50">
        <w:t>d</w:t>
      </w:r>
      <w:r w:rsidR="0085461E" w:rsidRPr="006E219D">
        <w:t xml:space="preserve"> the </w:t>
      </w:r>
      <w:r w:rsidR="004074C3">
        <w:t>CTCLL</w:t>
      </w:r>
      <w:r w:rsidR="0085461E" w:rsidRPr="006E219D">
        <w:t xml:space="preserve"> to </w:t>
      </w:r>
      <w:r w:rsidR="0085461E" w:rsidRPr="00895668">
        <w:rPr>
          <w:b/>
        </w:rPr>
        <w:t>develop recommendations for an education bilateral process with Indigenous Services Canada (ISC) that supports holistic lifelong learning approaches</w:t>
      </w:r>
      <w:r>
        <w:rPr>
          <w:b/>
        </w:rPr>
        <w:t xml:space="preserve">. </w:t>
      </w:r>
      <w:r>
        <w:t xml:space="preserve">The </w:t>
      </w:r>
      <w:r w:rsidR="004074C3">
        <w:t>CTCLL</w:t>
      </w:r>
      <w:r>
        <w:t xml:space="preserve"> determined that the bilateral process would </w:t>
      </w:r>
      <w:r w:rsidRPr="006E219D">
        <w:t xml:space="preserve">respect </w:t>
      </w:r>
      <w:r w:rsidR="003D3FDA">
        <w:t xml:space="preserve">First Nation Inherent and </w:t>
      </w:r>
      <w:r w:rsidRPr="006E219D">
        <w:t xml:space="preserve">Treaty </w:t>
      </w:r>
      <w:r w:rsidR="002F560E">
        <w:t>R</w:t>
      </w:r>
      <w:r w:rsidRPr="006E219D">
        <w:t>ight</w:t>
      </w:r>
      <w:r w:rsidR="003D3FDA">
        <w:t>s</w:t>
      </w:r>
      <w:r w:rsidRPr="006E219D">
        <w:t xml:space="preserve"> to education and ensure that our First Nations receive adequate, predictable and sustained funding reflective of </w:t>
      </w:r>
      <w:r w:rsidR="003D3FDA">
        <w:t>the diverse needs of our learners and communities.</w:t>
      </w:r>
      <w:r>
        <w:t xml:space="preserve"> To this end</w:t>
      </w:r>
      <w:r w:rsidR="002F560E">
        <w:t>,</w:t>
      </w:r>
      <w:r>
        <w:t xml:space="preserve"> a </w:t>
      </w:r>
      <w:r w:rsidR="0085461E" w:rsidRPr="006E219D">
        <w:t>Joint Bilateral Committee consist</w:t>
      </w:r>
      <w:r>
        <w:t>ing</w:t>
      </w:r>
      <w:r w:rsidR="0085461E" w:rsidRPr="006E219D">
        <w:t xml:space="preserve"> of representatives from the </w:t>
      </w:r>
      <w:r w:rsidR="004074C3">
        <w:t>CTCLL</w:t>
      </w:r>
      <w:r w:rsidR="0085461E" w:rsidRPr="006E219D">
        <w:t>, ISC Ontario Region and ISC HQ</w:t>
      </w:r>
      <w:r>
        <w:t xml:space="preserve"> was established</w:t>
      </w:r>
      <w:r w:rsidR="00C50AAE">
        <w:t xml:space="preserve"> to work together on developing recommendations</w:t>
      </w:r>
      <w:r w:rsidR="0085461E">
        <w:t xml:space="preserve">.  </w:t>
      </w:r>
    </w:p>
    <w:p w14:paraId="019D404E" w14:textId="77777777" w:rsidR="00307ADC" w:rsidRDefault="00307ADC" w:rsidP="00193B4F">
      <w:pPr>
        <w:spacing w:after="0" w:line="276" w:lineRule="auto"/>
      </w:pPr>
    </w:p>
    <w:p w14:paraId="08B8AA7C" w14:textId="04B4C375" w:rsidR="0085461E" w:rsidRDefault="00307ADC" w:rsidP="00193B4F">
      <w:pPr>
        <w:spacing w:after="0" w:line="276" w:lineRule="auto"/>
      </w:pPr>
      <w:r>
        <w:t>The Joint Bilateral Committee set out to develop recommendations on a</w:t>
      </w:r>
      <w:r w:rsidRPr="00307ADC">
        <w:t xml:space="preserve"> process for First Nations in Ontario and </w:t>
      </w:r>
      <w:r>
        <w:t>ISC</w:t>
      </w:r>
      <w:r w:rsidRPr="00307ADC">
        <w:t xml:space="preserve"> to jointly develop, review and refine education policy, programs and services to better meet the needs</w:t>
      </w:r>
      <w:r>
        <w:t xml:space="preserve"> </w:t>
      </w:r>
      <w:r w:rsidRPr="00307ADC">
        <w:t>of First Nation learners</w:t>
      </w:r>
      <w:r w:rsidR="003D3FDA">
        <w:t xml:space="preserve"> and communities</w:t>
      </w:r>
      <w:r w:rsidRPr="00307ADC">
        <w:t xml:space="preserve"> in Ontario. </w:t>
      </w:r>
      <w:r>
        <w:t>Early discussions determined t</w:t>
      </w:r>
      <w:r w:rsidRPr="00307ADC">
        <w:t xml:space="preserve">he </w:t>
      </w:r>
      <w:r>
        <w:t xml:space="preserve">recommended bilateral </w:t>
      </w:r>
      <w:r w:rsidRPr="00307ADC">
        <w:t xml:space="preserve">process </w:t>
      </w:r>
      <w:r>
        <w:t xml:space="preserve">would </w:t>
      </w:r>
      <w:r w:rsidRPr="00307ADC">
        <w:t xml:space="preserve">recognize and support </w:t>
      </w:r>
      <w:r w:rsidR="003D3FDA" w:rsidRPr="00307ADC">
        <w:t>First Nations</w:t>
      </w:r>
      <w:r w:rsidR="003D3FDA">
        <w:t>’</w:t>
      </w:r>
      <w:r w:rsidRPr="00307ADC">
        <w:t xml:space="preserve"> </w:t>
      </w:r>
      <w:r w:rsidR="003D3FDA">
        <w:t>I</w:t>
      </w:r>
      <w:r w:rsidRPr="00307ADC">
        <w:t xml:space="preserve">nherent </w:t>
      </w:r>
      <w:r w:rsidR="003D3FDA">
        <w:t xml:space="preserve">right to self-determination and </w:t>
      </w:r>
      <w:r w:rsidRPr="00307ADC">
        <w:t xml:space="preserve">jurisdiction over education and </w:t>
      </w:r>
      <w:r>
        <w:t xml:space="preserve">would recognize, </w:t>
      </w:r>
      <w:r w:rsidRPr="00307ADC">
        <w:t>respect</w:t>
      </w:r>
      <w:r>
        <w:t xml:space="preserve"> and incorporate</w:t>
      </w:r>
      <w:r w:rsidRPr="00307ADC">
        <w:t xml:space="preserve"> the </w:t>
      </w:r>
      <w:r w:rsidRPr="00307ADC">
        <w:lastRenderedPageBreak/>
        <w:t xml:space="preserve">development and decision-making processes of </w:t>
      </w:r>
      <w:r>
        <w:t xml:space="preserve">both </w:t>
      </w:r>
      <w:r w:rsidRPr="00307ADC">
        <w:t xml:space="preserve">the First Nations and </w:t>
      </w:r>
      <w:r>
        <w:t>ISC</w:t>
      </w:r>
      <w:r w:rsidRPr="00307ADC">
        <w:t xml:space="preserve">. </w:t>
      </w:r>
      <w:r w:rsidR="00FC6076">
        <w:t xml:space="preserve">This </w:t>
      </w:r>
      <w:r w:rsidR="00CB4139">
        <w:t xml:space="preserve">proposed </w:t>
      </w:r>
      <w:r w:rsidR="00FC6076">
        <w:t>framework is the result of the collaborative efforts of the Joint Bilateral Committee</w:t>
      </w:r>
      <w:r w:rsidR="000D1EDE">
        <w:t xml:space="preserve"> with input from First Nations via </w:t>
      </w:r>
      <w:r w:rsidR="00CB4139">
        <w:t>online input</w:t>
      </w:r>
      <w:r w:rsidR="00FC6076">
        <w:t>.</w:t>
      </w:r>
      <w:r w:rsidR="00CB4139">
        <w:t xml:space="preserve"> This recommended approach </w:t>
      </w:r>
      <w:r w:rsidR="00CB4139" w:rsidRPr="00CB4139">
        <w:t>lays out the COO/Firs</w:t>
      </w:r>
      <w:r w:rsidR="00CB4139">
        <w:t>t Nations framework for the bilateral table.</w:t>
      </w:r>
    </w:p>
    <w:p w14:paraId="06F31CFB" w14:textId="0811F329" w:rsidR="000E5F61" w:rsidRDefault="000E5F61" w:rsidP="00193B4F">
      <w:pPr>
        <w:spacing w:after="0" w:line="276" w:lineRule="auto"/>
      </w:pPr>
    </w:p>
    <w:p w14:paraId="3D7CB5F0" w14:textId="5C8FAA8E" w:rsidR="000E5F61" w:rsidRDefault="000E5F61" w:rsidP="000E5F61">
      <w:pPr>
        <w:spacing w:after="0" w:line="276" w:lineRule="auto"/>
      </w:pPr>
      <w:r>
        <w:t xml:space="preserve">Should First Nation Leadership in Ontario decide, at a future date, to re-establish participation at the AFN national committees on education, the Terms of Reference for a federal bilateral table on education would indicate that the position established at the bilateral table is the default position of First Nations in </w:t>
      </w:r>
      <w:proofErr w:type="gramStart"/>
      <w:r>
        <w:t>Ontario.</w:t>
      </w:r>
      <w:proofErr w:type="gramEnd"/>
    </w:p>
    <w:p w14:paraId="2F7108BA" w14:textId="77777777" w:rsidR="009126F8" w:rsidRDefault="009126F8" w:rsidP="00FC6076">
      <w:pPr>
        <w:spacing w:after="0" w:line="240" w:lineRule="auto"/>
      </w:pPr>
    </w:p>
    <w:p w14:paraId="1E6896F6" w14:textId="77777777" w:rsidR="00251E54" w:rsidRDefault="00251E54" w:rsidP="009126F8">
      <w:pPr>
        <w:pStyle w:val="Heading2"/>
        <w:spacing w:before="0"/>
      </w:pPr>
      <w:bookmarkStart w:id="2" w:name="_Toc80871206"/>
      <w:r>
        <w:t>Considerations</w:t>
      </w:r>
      <w:r w:rsidR="007E6613">
        <w:t>:</w:t>
      </w:r>
      <w:bookmarkEnd w:id="2"/>
    </w:p>
    <w:p w14:paraId="2D740CDC" w14:textId="77777777" w:rsidR="00C50AAE" w:rsidRPr="00C50AAE" w:rsidRDefault="0077188C" w:rsidP="00193B4F">
      <w:pPr>
        <w:spacing w:line="276" w:lineRule="auto"/>
      </w:pPr>
      <w:r w:rsidRPr="0077188C">
        <w:t>The following list outlines many considerations that will impact and influence a bilateral process between First Nations in Ontario and ISC. The considerations include; opportunities, respective decision-making processes, terminology and connections with other work (current and anticipated).</w:t>
      </w:r>
    </w:p>
    <w:p w14:paraId="581E1991" w14:textId="77777777" w:rsidR="009E2F84" w:rsidRDefault="009E2F84" w:rsidP="00193B4F">
      <w:pPr>
        <w:pStyle w:val="Heading3"/>
        <w:spacing w:line="276" w:lineRule="auto"/>
      </w:pPr>
      <w:bookmarkStart w:id="3" w:name="_Toc80871207"/>
      <w:r>
        <w:t>Opportunities</w:t>
      </w:r>
      <w:bookmarkEnd w:id="3"/>
    </w:p>
    <w:p w14:paraId="15C7B65E" w14:textId="77777777" w:rsidR="009E2F84" w:rsidRDefault="009E2F84" w:rsidP="00193B4F">
      <w:pPr>
        <w:spacing w:line="276" w:lineRule="auto"/>
      </w:pPr>
      <w:r>
        <w:t xml:space="preserve">This collaborative work provides an opportunity for First Nations in Ontario to shape the future of the education and learning environment to meet the current, ongoing and future needs of learners, communities and </w:t>
      </w:r>
      <w:r w:rsidR="003D3FDA">
        <w:t xml:space="preserve">First Nation </w:t>
      </w:r>
      <w:r>
        <w:t>designated entities.</w:t>
      </w:r>
    </w:p>
    <w:p w14:paraId="29ABF87C" w14:textId="77777777" w:rsidR="009E2F84" w:rsidRDefault="009E2F84" w:rsidP="00193B4F">
      <w:pPr>
        <w:spacing w:line="276" w:lineRule="auto"/>
      </w:pPr>
      <w:r>
        <w:t>This collaborative work provides an opportunity to:</w:t>
      </w:r>
    </w:p>
    <w:p w14:paraId="456879B3" w14:textId="59317064" w:rsidR="00EA498E" w:rsidRDefault="00720AA9" w:rsidP="00193B4F">
      <w:pPr>
        <w:pStyle w:val="ListParagraph"/>
        <w:numPr>
          <w:ilvl w:val="0"/>
          <w:numId w:val="16"/>
        </w:numPr>
        <w:spacing w:line="276" w:lineRule="auto"/>
      </w:pPr>
      <w:r w:rsidRPr="000E5F61">
        <w:t xml:space="preserve">Address current challenges of </w:t>
      </w:r>
      <w:r w:rsidR="001320B0" w:rsidRPr="000E5F61">
        <w:t xml:space="preserve">receiving </w:t>
      </w:r>
      <w:r w:rsidRPr="000E5F61">
        <w:t>timely</w:t>
      </w:r>
      <w:r w:rsidR="001320B0" w:rsidRPr="000E5F61">
        <w:t>, accurate and formal information. T</w:t>
      </w:r>
      <w:r w:rsidR="001320B0">
        <w:t>his process will e</w:t>
      </w:r>
      <w:r w:rsidR="00EA498E">
        <w:t xml:space="preserve">stablish a shared understanding </w:t>
      </w:r>
      <w:r w:rsidR="00EF6FEC">
        <w:t xml:space="preserve">and improve communication at all levels regarding </w:t>
      </w:r>
      <w:r w:rsidR="00EA498E">
        <w:t xml:space="preserve">the </w:t>
      </w:r>
      <w:r w:rsidR="00EF6FEC">
        <w:t xml:space="preserve">strengths and challenges associated with the </w:t>
      </w:r>
      <w:r w:rsidR="00CE190A">
        <w:t xml:space="preserve">funding, </w:t>
      </w:r>
      <w:r w:rsidR="0044477D">
        <w:t xml:space="preserve">policies, </w:t>
      </w:r>
      <w:r w:rsidR="00EF6FEC">
        <w:t>processes</w:t>
      </w:r>
      <w:r w:rsidR="00CE190A">
        <w:t>,</w:t>
      </w:r>
      <w:r w:rsidR="00EF6FEC">
        <w:t xml:space="preserve"> programs</w:t>
      </w:r>
      <w:r w:rsidR="00CE190A">
        <w:t xml:space="preserve"> and services</w:t>
      </w:r>
      <w:r w:rsidR="00EF6FEC">
        <w:t xml:space="preserve"> available to support First Nations education and learning;</w:t>
      </w:r>
    </w:p>
    <w:p w14:paraId="54119AE6" w14:textId="77777777" w:rsidR="00126272" w:rsidRDefault="00126272" w:rsidP="00193B4F">
      <w:pPr>
        <w:pStyle w:val="ListParagraph"/>
        <w:numPr>
          <w:ilvl w:val="0"/>
          <w:numId w:val="16"/>
        </w:numPr>
        <w:spacing w:line="276" w:lineRule="auto"/>
      </w:pPr>
      <w:r>
        <w:t xml:space="preserve">Break down operational siloes within First Nations and First Nations </w:t>
      </w:r>
      <w:r w:rsidR="0044477D">
        <w:t>designated entities</w:t>
      </w:r>
      <w:r>
        <w:t xml:space="preserve"> as well as within ISC and address navigational challenges and community engagement fatigue;</w:t>
      </w:r>
    </w:p>
    <w:p w14:paraId="35234C3E" w14:textId="6F06B0E8" w:rsidR="00720AA9" w:rsidRDefault="00720AA9" w:rsidP="00193B4F">
      <w:pPr>
        <w:pStyle w:val="ListParagraph"/>
        <w:numPr>
          <w:ilvl w:val="0"/>
          <w:numId w:val="16"/>
        </w:numPr>
        <w:spacing w:line="276" w:lineRule="auto"/>
      </w:pPr>
      <w:r>
        <w:t>Improve coordination of respective decision-making process</w:t>
      </w:r>
      <w:r w:rsidR="00F547F8">
        <w:t>es</w:t>
      </w:r>
      <w:r>
        <w:t xml:space="preserve"> to facilitate more timely implementation of recommendations</w:t>
      </w:r>
      <w:r w:rsidR="000E5F61">
        <w:t>;</w:t>
      </w:r>
    </w:p>
    <w:p w14:paraId="42703F59" w14:textId="31E99BC7" w:rsidR="00126272" w:rsidRDefault="00126272" w:rsidP="00193B4F">
      <w:pPr>
        <w:pStyle w:val="ListParagraph"/>
        <w:numPr>
          <w:ilvl w:val="0"/>
          <w:numId w:val="16"/>
        </w:numPr>
        <w:spacing w:line="276" w:lineRule="auto"/>
      </w:pPr>
      <w:r>
        <w:t xml:space="preserve">Clarify the roles, responsibilities, processes, and timing considerations associated with </w:t>
      </w:r>
      <w:r w:rsidR="000E5F61">
        <w:t xml:space="preserve">education </w:t>
      </w:r>
      <w:r>
        <w:t>reform;</w:t>
      </w:r>
    </w:p>
    <w:p w14:paraId="673B1258" w14:textId="77777777" w:rsidR="00126272" w:rsidRDefault="00126272" w:rsidP="00193B4F">
      <w:pPr>
        <w:pStyle w:val="ListParagraph"/>
        <w:numPr>
          <w:ilvl w:val="0"/>
          <w:numId w:val="16"/>
        </w:numPr>
        <w:spacing w:line="276" w:lineRule="auto"/>
      </w:pPr>
      <w:r>
        <w:t>Identify and address capacity needs for all partners; and</w:t>
      </w:r>
    </w:p>
    <w:p w14:paraId="603BB214" w14:textId="77777777" w:rsidR="00126272" w:rsidRPr="009E2F84" w:rsidRDefault="00126272" w:rsidP="00193B4F">
      <w:pPr>
        <w:pStyle w:val="ListParagraph"/>
        <w:numPr>
          <w:ilvl w:val="0"/>
          <w:numId w:val="16"/>
        </w:numPr>
        <w:spacing w:line="276" w:lineRule="auto"/>
      </w:pPr>
      <w:r>
        <w:t>Better align grassroots and top-down approaches.</w:t>
      </w:r>
    </w:p>
    <w:p w14:paraId="6D2B899F" w14:textId="77777777" w:rsidR="00506778" w:rsidRDefault="00506778" w:rsidP="00506778">
      <w:pPr>
        <w:pStyle w:val="Heading3"/>
      </w:pPr>
      <w:bookmarkStart w:id="4" w:name="_Toc80871208"/>
      <w:r>
        <w:t>Decision-making Processes</w:t>
      </w:r>
      <w:bookmarkEnd w:id="4"/>
    </w:p>
    <w:p w14:paraId="3A4B893B" w14:textId="77777777" w:rsidR="00506778" w:rsidRDefault="00506778" w:rsidP="00506778">
      <w:pPr>
        <w:pStyle w:val="Heading4"/>
      </w:pPr>
      <w:r>
        <w:t>COO</w:t>
      </w:r>
    </w:p>
    <w:p w14:paraId="7EDC68A2" w14:textId="172F9DB3" w:rsidR="00233D03" w:rsidRDefault="00233D03" w:rsidP="00193B4F">
      <w:pPr>
        <w:spacing w:line="276" w:lineRule="auto"/>
      </w:pPr>
      <w:r>
        <w:t>The process is iterative and may include a back</w:t>
      </w:r>
      <w:r w:rsidR="00086DBA">
        <w:t>-</w:t>
      </w:r>
      <w:r>
        <w:t>and</w:t>
      </w:r>
      <w:r w:rsidR="00086DBA">
        <w:t>-</w:t>
      </w:r>
      <w:r>
        <w:t>forth before moving on to the next step as outlined below.</w:t>
      </w:r>
      <w:r w:rsidR="00E57870">
        <w:t xml:space="preserve"> </w:t>
      </w:r>
      <w:r w:rsidR="00E468D8">
        <w:t>N</w:t>
      </w:r>
      <w:r w:rsidR="00E57870">
        <w:t xml:space="preserve">ote final approvals at the </w:t>
      </w:r>
      <w:r w:rsidR="004074C3">
        <w:t>CTCLL</w:t>
      </w:r>
      <w:r w:rsidR="00E57870">
        <w:t xml:space="preserve"> may take place </w:t>
      </w:r>
      <w:r w:rsidR="00E468D8">
        <w:t xml:space="preserve">via consensus </w:t>
      </w:r>
      <w:r w:rsidR="00E57870">
        <w:t>if there is a mandate to do so.</w:t>
      </w:r>
    </w:p>
    <w:p w14:paraId="68A704A3" w14:textId="620002D6" w:rsidR="00506778" w:rsidRDefault="00506778" w:rsidP="00193B4F">
      <w:pPr>
        <w:pStyle w:val="ListParagraph"/>
        <w:numPr>
          <w:ilvl w:val="0"/>
          <w:numId w:val="15"/>
        </w:numPr>
        <w:spacing w:line="276" w:lineRule="auto"/>
      </w:pPr>
      <w:r>
        <w:t>Input from First Nation</w:t>
      </w:r>
      <w:r w:rsidR="00233D03">
        <w:t xml:space="preserve"> </w:t>
      </w:r>
      <w:r>
        <w:t>communities</w:t>
      </w:r>
      <w:r w:rsidR="00CF0F1C">
        <w:t xml:space="preserve"> and</w:t>
      </w:r>
      <w:r w:rsidR="00C40883">
        <w:t xml:space="preserve"> </w:t>
      </w:r>
      <w:r w:rsidR="006246FE">
        <w:t>d</w:t>
      </w:r>
      <w:r w:rsidR="00CF0F1C">
        <w:t xml:space="preserve">esignated </w:t>
      </w:r>
      <w:r w:rsidR="006246FE">
        <w:t>e</w:t>
      </w:r>
      <w:r w:rsidR="00CF0F1C">
        <w:t>ntities</w:t>
      </w:r>
      <w:r w:rsidR="003B4295">
        <w:t xml:space="preserve"> is forwarded to the Education Sector/CTCLL</w:t>
      </w:r>
    </w:p>
    <w:p w14:paraId="6A69CFBB" w14:textId="77777777" w:rsidR="00506778" w:rsidRDefault="003B4295" w:rsidP="00193B4F">
      <w:pPr>
        <w:pStyle w:val="ListParagraph"/>
        <w:numPr>
          <w:ilvl w:val="0"/>
          <w:numId w:val="15"/>
        </w:numPr>
        <w:spacing w:line="276" w:lineRule="auto"/>
      </w:pPr>
      <w:r>
        <w:lastRenderedPageBreak/>
        <w:t>The Education Sector/</w:t>
      </w:r>
      <w:r w:rsidR="004074C3">
        <w:t>CTCLL</w:t>
      </w:r>
      <w:r w:rsidR="00506778">
        <w:t xml:space="preserve"> assign</w:t>
      </w:r>
      <w:r w:rsidR="00233D03">
        <w:t>s</w:t>
      </w:r>
      <w:r w:rsidR="00506778">
        <w:t xml:space="preserve"> work to appropriate</w:t>
      </w:r>
      <w:r w:rsidR="00233D03">
        <w:t xml:space="preserve"> </w:t>
      </w:r>
      <w:r>
        <w:t>Advisory Group</w:t>
      </w:r>
      <w:r w:rsidR="00E468D8">
        <w:rPr>
          <w:rStyle w:val="FootnoteReference"/>
        </w:rPr>
        <w:footnoteReference w:id="1"/>
      </w:r>
    </w:p>
    <w:p w14:paraId="78533610" w14:textId="77777777" w:rsidR="00506778" w:rsidRDefault="003B4295" w:rsidP="00193B4F">
      <w:pPr>
        <w:pStyle w:val="ListParagraph"/>
        <w:numPr>
          <w:ilvl w:val="0"/>
          <w:numId w:val="15"/>
        </w:numPr>
        <w:spacing w:line="276" w:lineRule="auto"/>
      </w:pPr>
      <w:r>
        <w:t>The Advisory Group</w:t>
      </w:r>
      <w:r w:rsidR="00506778">
        <w:t xml:space="preserve"> develop</w:t>
      </w:r>
      <w:r w:rsidR="00233D03">
        <w:t xml:space="preserve">s </w:t>
      </w:r>
      <w:r w:rsidR="00506778">
        <w:t>recommendations to address</w:t>
      </w:r>
      <w:r w:rsidR="00233D03">
        <w:t xml:space="preserve"> </w:t>
      </w:r>
      <w:r>
        <w:t xml:space="preserve">the </w:t>
      </w:r>
      <w:r w:rsidR="00506778">
        <w:t>assigned issue through various</w:t>
      </w:r>
      <w:r w:rsidR="00233D03">
        <w:t xml:space="preserve"> </w:t>
      </w:r>
      <w:r w:rsidR="00506778">
        <w:t>means including, research,</w:t>
      </w:r>
      <w:r w:rsidR="00233D03">
        <w:t xml:space="preserve"> </w:t>
      </w:r>
      <w:r w:rsidR="00506778">
        <w:t>analysis and engagement</w:t>
      </w:r>
    </w:p>
    <w:p w14:paraId="2B4DEAB1" w14:textId="63004411" w:rsidR="00506778" w:rsidRDefault="003B4295" w:rsidP="00193B4F">
      <w:pPr>
        <w:pStyle w:val="ListParagraph"/>
        <w:numPr>
          <w:ilvl w:val="0"/>
          <w:numId w:val="15"/>
        </w:numPr>
        <w:spacing w:line="276" w:lineRule="auto"/>
      </w:pPr>
      <w:r>
        <w:t xml:space="preserve">The </w:t>
      </w:r>
      <w:r w:rsidR="004074C3">
        <w:t>CTCLL</w:t>
      </w:r>
      <w:r w:rsidR="00506778">
        <w:t xml:space="preserve"> </w:t>
      </w:r>
      <w:r>
        <w:t>builds consensus on the</w:t>
      </w:r>
      <w:r w:rsidR="00233D03">
        <w:t xml:space="preserve"> </w:t>
      </w:r>
      <w:r w:rsidR="00506778">
        <w:t xml:space="preserve">recommendations from </w:t>
      </w:r>
      <w:r w:rsidR="00416660">
        <w:t xml:space="preserve">the Advisory Groups </w:t>
      </w:r>
      <w:r w:rsidR="00E57870">
        <w:t xml:space="preserve">and passes </w:t>
      </w:r>
      <w:r w:rsidR="0077188C">
        <w:t xml:space="preserve">them </w:t>
      </w:r>
      <w:r w:rsidR="00E57870">
        <w:t xml:space="preserve">on to </w:t>
      </w:r>
      <w:r>
        <w:t xml:space="preserve">the appropriate </w:t>
      </w:r>
      <w:r w:rsidR="00E57870">
        <w:t>Political</w:t>
      </w:r>
      <w:r>
        <w:t xml:space="preserve"> Entity</w:t>
      </w:r>
      <w:r w:rsidR="00E57870">
        <w:t xml:space="preserve"> </w:t>
      </w:r>
      <w:r>
        <w:t>(Chiefs</w:t>
      </w:r>
      <w:r w:rsidR="00C40883">
        <w:t xml:space="preserve"> </w:t>
      </w:r>
      <w:r>
        <w:t>in</w:t>
      </w:r>
      <w:r w:rsidR="00C40883">
        <w:t xml:space="preserve"> </w:t>
      </w:r>
      <w:r>
        <w:t xml:space="preserve">Assembly or Leadership Council) </w:t>
      </w:r>
      <w:r w:rsidR="00E57870">
        <w:t>if required</w:t>
      </w:r>
    </w:p>
    <w:p w14:paraId="67314AE9" w14:textId="71D4A6BD" w:rsidR="00506778" w:rsidRDefault="003B4295" w:rsidP="00193B4F">
      <w:pPr>
        <w:pStyle w:val="ListParagraph"/>
        <w:numPr>
          <w:ilvl w:val="0"/>
          <w:numId w:val="15"/>
        </w:numPr>
        <w:spacing w:line="276" w:lineRule="auto"/>
      </w:pPr>
      <w:r>
        <w:t xml:space="preserve">The </w:t>
      </w:r>
      <w:r w:rsidR="00506778">
        <w:t>Political Entity approve</w:t>
      </w:r>
      <w:r>
        <w:t>s</w:t>
      </w:r>
      <w:r w:rsidR="00233D03">
        <w:t xml:space="preserve"> </w:t>
      </w:r>
      <w:r w:rsidR="00506778">
        <w:t xml:space="preserve">recommendations from </w:t>
      </w:r>
      <w:r w:rsidR="004074C3">
        <w:t>CTCLL</w:t>
      </w:r>
      <w:r>
        <w:t xml:space="preserve"> via a Chiefs</w:t>
      </w:r>
      <w:r w:rsidR="00086DBA">
        <w:t>-</w:t>
      </w:r>
      <w:r>
        <w:t>in</w:t>
      </w:r>
      <w:r w:rsidR="00086DBA">
        <w:t>-</w:t>
      </w:r>
      <w:r>
        <w:t>Assembly Resolution or a Leadership Council Motion – depending on the circumstances</w:t>
      </w:r>
    </w:p>
    <w:p w14:paraId="6913B8D7" w14:textId="77777777" w:rsidR="00506778" w:rsidRDefault="00E468D8" w:rsidP="00193B4F">
      <w:pPr>
        <w:pStyle w:val="ListParagraph"/>
        <w:numPr>
          <w:ilvl w:val="0"/>
          <w:numId w:val="15"/>
        </w:numPr>
        <w:spacing w:line="276" w:lineRule="auto"/>
      </w:pPr>
      <w:r>
        <w:t>The Education Sector/</w:t>
      </w:r>
      <w:r w:rsidR="004074C3">
        <w:t>CTCLL</w:t>
      </w:r>
      <w:r w:rsidR="00506778">
        <w:t xml:space="preserve"> ensure</w:t>
      </w:r>
      <w:r w:rsidR="00233D03">
        <w:t>s</w:t>
      </w:r>
      <w:r w:rsidR="00506778">
        <w:t xml:space="preserve"> implementation</w:t>
      </w:r>
      <w:r w:rsidR="00233D03">
        <w:t xml:space="preserve"> </w:t>
      </w:r>
      <w:r w:rsidR="00506778">
        <w:t>and communication according to</w:t>
      </w:r>
      <w:r w:rsidR="00233D03">
        <w:t xml:space="preserve"> </w:t>
      </w:r>
      <w:r w:rsidR="00506778">
        <w:t>political direction</w:t>
      </w:r>
    </w:p>
    <w:p w14:paraId="34A6F509" w14:textId="77777777" w:rsidR="001F112F" w:rsidRDefault="001F112F" w:rsidP="00193B4F">
      <w:pPr>
        <w:spacing w:line="276" w:lineRule="auto"/>
      </w:pPr>
      <w:r>
        <w:t>The timeline associated with decision</w:t>
      </w:r>
      <w:r w:rsidR="00E468D8">
        <w:t>-</w:t>
      </w:r>
      <w:r>
        <w:t>making at COO:</w:t>
      </w:r>
    </w:p>
    <w:p w14:paraId="04132773" w14:textId="536B3569" w:rsidR="001F112F" w:rsidRDefault="001F112F" w:rsidP="00193B4F">
      <w:pPr>
        <w:spacing w:line="276" w:lineRule="auto"/>
      </w:pPr>
      <w:r>
        <w:t xml:space="preserve">First Nations in Ontario &gt; </w:t>
      </w:r>
      <w:r w:rsidR="00E468D8">
        <w:t>Advisory Groups</w:t>
      </w:r>
      <w:r>
        <w:t xml:space="preserve"> </w:t>
      </w:r>
      <w:r w:rsidR="00E468D8">
        <w:t xml:space="preserve">(mainly monthly) </w:t>
      </w:r>
      <w:r>
        <w:t xml:space="preserve">&gt; </w:t>
      </w:r>
      <w:r w:rsidR="004074C3">
        <w:t>CTCLL</w:t>
      </w:r>
      <w:r>
        <w:t>/Education Portfolio (monthly) &gt; Leadership Council (monthly) &gt; Chiefs</w:t>
      </w:r>
      <w:r w:rsidR="00086DBA">
        <w:t>-</w:t>
      </w:r>
      <w:r>
        <w:t>in</w:t>
      </w:r>
      <w:r w:rsidR="00086DBA">
        <w:t>-</w:t>
      </w:r>
      <w:r>
        <w:t>Assembly (June</w:t>
      </w:r>
      <w:r w:rsidR="00E468D8">
        <w:t>,</w:t>
      </w:r>
      <w:r>
        <w:t xml:space="preserve"> </w:t>
      </w:r>
      <w:r w:rsidR="00E468D8">
        <w:t>November, as needed</w:t>
      </w:r>
      <w:r>
        <w:t>)</w:t>
      </w:r>
    </w:p>
    <w:p w14:paraId="6DDD1DB3" w14:textId="77777777" w:rsidR="00233D03" w:rsidRDefault="001F112F" w:rsidP="00193B4F">
      <w:pPr>
        <w:pStyle w:val="Heading4"/>
        <w:spacing w:line="276" w:lineRule="auto"/>
      </w:pPr>
      <w:r>
        <w:t>ISC</w:t>
      </w:r>
    </w:p>
    <w:p w14:paraId="7060DD8A" w14:textId="52ECCD9E" w:rsidR="006246FE" w:rsidRPr="001074F9" w:rsidRDefault="006246FE" w:rsidP="006246FE">
      <w:pPr>
        <w:spacing w:line="276" w:lineRule="auto"/>
      </w:pPr>
      <w:r w:rsidRPr="001074F9">
        <w:t xml:space="preserve">Proposals will be developed and reviewed </w:t>
      </w:r>
      <w:r w:rsidR="002F560E">
        <w:t>at</w:t>
      </w:r>
      <w:r>
        <w:t xml:space="preserve"> </w:t>
      </w:r>
      <w:r w:rsidRPr="001074F9">
        <w:t>the working and technical level within Indigenous Services Canada.</w:t>
      </w:r>
      <w:r>
        <w:t xml:space="preserve"> Where decisions remain within existing program authorities and funding levels, they can largely be made at ISC </w:t>
      </w:r>
      <w:r w:rsidRPr="001074F9">
        <w:t>at the Program Director or Director General leve</w:t>
      </w:r>
      <w:r>
        <w:t>l.</w:t>
      </w:r>
      <w:r w:rsidRPr="001074F9">
        <w:t xml:space="preserve"> </w:t>
      </w:r>
    </w:p>
    <w:p w14:paraId="4F1FF204" w14:textId="77777777" w:rsidR="006246FE" w:rsidRPr="00881E19" w:rsidRDefault="006246FE" w:rsidP="006246FE">
      <w:pPr>
        <w:spacing w:line="276" w:lineRule="auto"/>
        <w:rPr>
          <w:b/>
          <w:bCs/>
          <w:color w:val="000000" w:themeColor="text1"/>
        </w:rPr>
      </w:pPr>
      <w:r w:rsidRPr="001074F9">
        <w:t>New authorities, programming</w:t>
      </w:r>
      <w:r>
        <w:t xml:space="preserve">, and/or requests for incremental </w:t>
      </w:r>
      <w:r w:rsidRPr="001074F9">
        <w:t xml:space="preserve">funding </w:t>
      </w:r>
      <w:r>
        <w:t xml:space="preserve">require approval by either Cabinet (including decisions by the Treasury Board) or the Minister of Finance (for new funding). </w:t>
      </w:r>
      <w:r w:rsidRPr="00881E19">
        <w:rPr>
          <w:rFonts w:ascii="Calibri" w:hAnsi="Calibri" w:cs="Calibri"/>
        </w:rPr>
        <w:t>Any initiative that requires this level of change first requires Ministerial approval.</w:t>
      </w:r>
      <w:r>
        <w:rPr>
          <w:rFonts w:ascii="Calibri" w:hAnsi="Calibri" w:cs="Calibri"/>
        </w:rPr>
        <w:t xml:space="preserve"> These decisions go through the following approval chain:</w:t>
      </w:r>
    </w:p>
    <w:p w14:paraId="00F62DE2" w14:textId="6F729847" w:rsidR="001F112F" w:rsidRPr="001F112F" w:rsidRDefault="001F112F" w:rsidP="003A2D2B">
      <w:pPr>
        <w:spacing w:line="276" w:lineRule="auto"/>
      </w:pPr>
      <w:r w:rsidRPr="001F112F">
        <w:t>Directorate &gt; Director General &gt; Assistant Deputy Minister</w:t>
      </w:r>
      <w:r w:rsidR="003150B5">
        <w:t xml:space="preserve"> &gt; Minister</w:t>
      </w:r>
    </w:p>
    <w:p w14:paraId="78ED97BC" w14:textId="77777777" w:rsidR="00251E54" w:rsidRDefault="00250126" w:rsidP="000C09D4">
      <w:pPr>
        <w:pStyle w:val="Heading3"/>
      </w:pPr>
      <w:bookmarkStart w:id="5" w:name="_Toc80871209"/>
      <w:r>
        <w:t xml:space="preserve">Acronyms &amp; </w:t>
      </w:r>
      <w:r w:rsidR="00251E54">
        <w:t>Terminology</w:t>
      </w:r>
      <w:bookmarkEnd w:id="5"/>
      <w:r w:rsidR="00251E54">
        <w:t xml:space="preserve"> </w:t>
      </w:r>
    </w:p>
    <w:p w14:paraId="64E8EE96" w14:textId="77777777" w:rsidR="00373B6D" w:rsidRDefault="00373B6D" w:rsidP="00373B6D">
      <w:pPr>
        <w:spacing w:line="276" w:lineRule="auto"/>
      </w:pPr>
      <w:r>
        <w:rPr>
          <w:b/>
        </w:rPr>
        <w:t>CTCLL</w:t>
      </w:r>
      <w:r w:rsidRPr="00777494">
        <w:t xml:space="preserve"> –</w:t>
      </w:r>
      <w:r>
        <w:t xml:space="preserve"> Chiefs and Technical Committee on Languages and Learning</w:t>
      </w:r>
      <w:r w:rsidRPr="00777494">
        <w:t xml:space="preserve">.  The </w:t>
      </w:r>
      <w:r>
        <w:t>CTCLL</w:t>
      </w:r>
      <w:r w:rsidRPr="00777494">
        <w:t xml:space="preserve"> facilitates the discussion, planning, implementation and evaluation of all local, regional, provincial, federal and national matters affecting lifelong learning for the First Nations in Ontario. The </w:t>
      </w:r>
      <w:r>
        <w:t>CTCLL</w:t>
      </w:r>
      <w:r w:rsidRPr="00777494">
        <w:t xml:space="preserve"> enables the First Nations in Ontario to collectively discuss and decide on regional, provincial, federal and national priorities affecting lifelong learning to provide a unified voice on these matters.</w:t>
      </w:r>
    </w:p>
    <w:p w14:paraId="4DE3107D" w14:textId="4623B066" w:rsidR="0044477D" w:rsidRDefault="0044477D" w:rsidP="00193B4F">
      <w:pPr>
        <w:spacing w:line="276" w:lineRule="auto"/>
      </w:pPr>
      <w:r>
        <w:rPr>
          <w:b/>
        </w:rPr>
        <w:t xml:space="preserve">Designated entities – </w:t>
      </w:r>
      <w:r w:rsidR="00A2051D">
        <w:t>A</w:t>
      </w:r>
      <w:r>
        <w:t>ny entity designated by one or more First Nation communities to undertake education and learning related activities on behalf of the First Nation community, including but not limited to, post-secondary institutions, boards of education, Tribal Councils, provincial territorial organizations and local education authorities.</w:t>
      </w:r>
    </w:p>
    <w:p w14:paraId="1AFC7BBB" w14:textId="6233252D" w:rsidR="00B34E4A" w:rsidRPr="00B34E4A" w:rsidRDefault="00B34E4A" w:rsidP="00193B4F">
      <w:pPr>
        <w:spacing w:line="276" w:lineRule="auto"/>
      </w:pPr>
      <w:r>
        <w:rPr>
          <w:b/>
        </w:rPr>
        <w:t xml:space="preserve">EPP </w:t>
      </w:r>
      <w:r>
        <w:t xml:space="preserve">– Education Partnerships Program.  The EPP is a federal proposal-based program that has been in place for many years.  According to </w:t>
      </w:r>
      <w:proofErr w:type="gramStart"/>
      <w:r>
        <w:t>ISC</w:t>
      </w:r>
      <w:proofErr w:type="gramEnd"/>
      <w:r>
        <w:t xml:space="preserve"> the EPP is </w:t>
      </w:r>
      <w:r w:rsidRPr="00B34E4A">
        <w:t xml:space="preserve">designed to advance First Nations student </w:t>
      </w:r>
      <w:r w:rsidRPr="00B34E4A">
        <w:lastRenderedPageBreak/>
        <w:t>achievement in First Nations</w:t>
      </w:r>
      <w:r w:rsidR="00A2051D">
        <w:t>,</w:t>
      </w:r>
      <w:r w:rsidRPr="00B34E4A">
        <w:t xml:space="preserve"> provincial and territorial schools.</w:t>
      </w:r>
      <w:r>
        <w:t xml:space="preserve">  The EPP has 3 distinct components: Partnerships; Structural Readiness; and Regional Education Agreements.  For more information see ISC website at </w:t>
      </w:r>
      <w:hyperlink r:id="rId12" w:history="1">
        <w:r w:rsidRPr="006560F1">
          <w:rPr>
            <w:rStyle w:val="Hyperlink"/>
          </w:rPr>
          <w:t>https://www.sac-isc.gc.ca/eng/1100100033760/1543408975080</w:t>
        </w:r>
      </w:hyperlink>
      <w:r>
        <w:t xml:space="preserve">. </w:t>
      </w:r>
    </w:p>
    <w:p w14:paraId="6323731F" w14:textId="51D960FF" w:rsidR="00777494" w:rsidRPr="009126F8" w:rsidRDefault="00777494" w:rsidP="00193B4F">
      <w:pPr>
        <w:spacing w:line="276" w:lineRule="auto"/>
      </w:pPr>
      <w:r w:rsidRPr="003150B5">
        <w:rPr>
          <w:b/>
        </w:rPr>
        <w:t>First Nations control (of lifelong learning)</w:t>
      </w:r>
      <w:r w:rsidR="009126F8">
        <w:rPr>
          <w:b/>
        </w:rPr>
        <w:t xml:space="preserve"> </w:t>
      </w:r>
      <w:r w:rsidR="006A48F2">
        <w:t>–</w:t>
      </w:r>
      <w:r w:rsidR="009126F8">
        <w:t xml:space="preserve"> </w:t>
      </w:r>
      <w:r w:rsidR="00A2051D">
        <w:t>T</w:t>
      </w:r>
      <w:r w:rsidR="006A48F2">
        <w:t xml:space="preserve">akes the </w:t>
      </w:r>
      <w:r w:rsidR="009126F8">
        <w:t xml:space="preserve">view </w:t>
      </w:r>
      <w:r w:rsidR="006A48F2">
        <w:t xml:space="preserve">that </w:t>
      </w:r>
      <w:r w:rsidR="009126F8">
        <w:t xml:space="preserve">education </w:t>
      </w:r>
      <w:r w:rsidR="006A48F2">
        <w:t>i</w:t>
      </w:r>
      <w:r w:rsidR="009126F8">
        <w:t xml:space="preserve">s a means to achieving self-determination and redressing the negative impacts of colonial practices. </w:t>
      </w:r>
      <w:r w:rsidR="006A48F2">
        <w:t xml:space="preserve">It </w:t>
      </w:r>
      <w:proofErr w:type="gramStart"/>
      <w:r w:rsidR="006A48F2">
        <w:t>is understood</w:t>
      </w:r>
      <w:proofErr w:type="gramEnd"/>
      <w:r w:rsidR="006A48F2">
        <w:t xml:space="preserve"> that</w:t>
      </w:r>
      <w:r w:rsidR="009126F8">
        <w:t xml:space="preserve"> First Nations control over education will provide the means to acquire the necessary skills to be self-empowered</w:t>
      </w:r>
      <w:r w:rsidR="00A2051D">
        <w:t>,</w:t>
      </w:r>
      <w:r w:rsidR="009126F8">
        <w:t xml:space="preserve"> self-sufficient and to maintain First Nations cultural values and languages. </w:t>
      </w:r>
    </w:p>
    <w:p w14:paraId="5D6332AE" w14:textId="77777777" w:rsidR="00B34E4A" w:rsidRDefault="00B34E4A" w:rsidP="00193B4F">
      <w:pPr>
        <w:spacing w:line="276" w:lineRule="auto"/>
      </w:pPr>
      <w:r w:rsidRPr="00B34E4A">
        <w:rPr>
          <w:b/>
        </w:rPr>
        <w:t>Infrastructure</w:t>
      </w:r>
      <w:r>
        <w:t xml:space="preserve"> – Infrastructure as a Priority Team designation includes the evaluation of the </w:t>
      </w:r>
      <w:r w:rsidRPr="00B34E4A">
        <w:t>Enhanced Education Infrastructure Fund</w:t>
      </w:r>
      <w:r>
        <w:t>, which</w:t>
      </w:r>
      <w:r w:rsidRPr="00B34E4A">
        <w:t xml:space="preserve"> is part of the Capital Facilities and Maintenance Program.</w:t>
      </w:r>
      <w:r>
        <w:t xml:space="preserve">  Through this program t</w:t>
      </w:r>
      <w:r w:rsidRPr="00B34E4A">
        <w:t xml:space="preserve">he Government of Canada provides funding to First Nations to build new schools, renovate and expand existing facilities, and operate and maintain existing education infrastructure. </w:t>
      </w:r>
    </w:p>
    <w:p w14:paraId="419C1AA6" w14:textId="77777777" w:rsidR="00777494" w:rsidRDefault="00777494" w:rsidP="00193B4F">
      <w:pPr>
        <w:spacing w:line="276" w:lineRule="auto"/>
      </w:pPr>
      <w:r w:rsidRPr="00250126">
        <w:rPr>
          <w:b/>
        </w:rPr>
        <w:t>Lifelong learning</w:t>
      </w:r>
      <w:r>
        <w:t xml:space="preserve"> - </w:t>
      </w:r>
      <w:r w:rsidRPr="00250126">
        <w:t>Lifelong learning is a holistic concept that respects education and learning equally for the full life journey of individuals. The concept embraces education and learning rooted in our language and culture that provides opportunities and supports based on individual need for development, learning and success.</w:t>
      </w:r>
    </w:p>
    <w:p w14:paraId="1CB71930" w14:textId="1B6AF38D" w:rsidR="00BA7723" w:rsidRDefault="00BA7723" w:rsidP="00193B4F">
      <w:pPr>
        <w:spacing w:line="276" w:lineRule="auto"/>
      </w:pPr>
      <w:r w:rsidRPr="00A27151">
        <w:rPr>
          <w:b/>
        </w:rPr>
        <w:t>OBELT</w:t>
      </w:r>
      <w:r w:rsidR="00A27151">
        <w:t xml:space="preserve"> – </w:t>
      </w:r>
      <w:r w:rsidR="00A2051D">
        <w:t>T</w:t>
      </w:r>
      <w:r w:rsidR="00A27151">
        <w:t xml:space="preserve">he acronym for the Ontario Bilateral Education </w:t>
      </w:r>
      <w:r w:rsidR="00337D86">
        <w:t xml:space="preserve">and </w:t>
      </w:r>
      <w:r w:rsidR="00A27151">
        <w:t xml:space="preserve">Learning Table, which </w:t>
      </w:r>
      <w:r w:rsidR="0035542F">
        <w:t xml:space="preserve">is </w:t>
      </w:r>
      <w:r w:rsidR="00A27151">
        <w:t>the draft title developed for th</w:t>
      </w:r>
      <w:r w:rsidR="00904893">
        <w:t>is</w:t>
      </w:r>
      <w:r w:rsidR="00A27151">
        <w:t xml:space="preserve"> bilateral process between First Nations in Ontario and Indigenous Services Canada. </w:t>
      </w:r>
    </w:p>
    <w:p w14:paraId="374E19D5" w14:textId="710E24B0" w:rsidR="00A27151" w:rsidRPr="000C09D4" w:rsidRDefault="00A27151" w:rsidP="00193B4F">
      <w:pPr>
        <w:spacing w:line="276" w:lineRule="auto"/>
      </w:pPr>
      <w:r w:rsidRPr="00904893">
        <w:rPr>
          <w:b/>
        </w:rPr>
        <w:t>OTTIFA</w:t>
      </w:r>
      <w:r>
        <w:t xml:space="preserve"> – </w:t>
      </w:r>
      <w:r w:rsidR="00A2051D">
        <w:t>T</w:t>
      </w:r>
      <w:r>
        <w:t xml:space="preserve">he acronym for the Ontario Technical Table on the Interim Funding Approach.  This bilateral table </w:t>
      </w:r>
      <w:r w:rsidR="00904893">
        <w:t xml:space="preserve">(with ISC) </w:t>
      </w:r>
      <w:r>
        <w:t xml:space="preserve">was established in 2017 to </w:t>
      </w:r>
      <w:r w:rsidRPr="00A27151">
        <w:t>provide a forum for First Nation technicians in Ontario and Indigenous Service Canada’s technicians to continue discussions on the development, implementation and ongoing evaluation of the Interim Funding Approach for First Nations in Ontario</w:t>
      </w:r>
      <w:r w:rsidR="00904893">
        <w:t>.  It is proposed that this bilateral table will be incorporated under the larger bilateral structure (OBELT) as the K-12 Priority Team – see pages 8 &amp; 9 of this document.</w:t>
      </w:r>
    </w:p>
    <w:p w14:paraId="4A41E096" w14:textId="77777777" w:rsidR="007E6613" w:rsidRDefault="007E6613" w:rsidP="00193B4F">
      <w:pPr>
        <w:pStyle w:val="Heading3"/>
        <w:spacing w:line="276" w:lineRule="auto"/>
      </w:pPr>
      <w:bookmarkStart w:id="6" w:name="_Toc80871210"/>
      <w:r>
        <w:t>Connections</w:t>
      </w:r>
      <w:bookmarkEnd w:id="6"/>
      <w:r>
        <w:t xml:space="preserve"> </w:t>
      </w:r>
    </w:p>
    <w:p w14:paraId="5C51BD06" w14:textId="7257F18D" w:rsidR="00250126" w:rsidRDefault="00250126" w:rsidP="00193B4F">
      <w:pPr>
        <w:spacing w:line="276" w:lineRule="auto"/>
      </w:pPr>
      <w:r>
        <w:t xml:space="preserve">Lifelong learning related activity is connected to many other </w:t>
      </w:r>
      <w:r w:rsidR="00AA4679">
        <w:t>First Nations,</w:t>
      </w:r>
      <w:r>
        <w:t xml:space="preserve"> federal</w:t>
      </w:r>
      <w:r w:rsidR="00AA4679">
        <w:t xml:space="preserve">/provincial </w:t>
      </w:r>
      <w:r>
        <w:t>government</w:t>
      </w:r>
      <w:r w:rsidR="00AA4679">
        <w:t>al and non-governmental entities</w:t>
      </w:r>
      <w:r w:rsidR="0001223E">
        <w:t>, political and technical tables</w:t>
      </w:r>
      <w:r>
        <w:t xml:space="preserve">.  </w:t>
      </w:r>
      <w:r w:rsidR="0001223E">
        <w:t xml:space="preserve">This includes, but is not limited to, other sectors, departments, ministries, agencies, organizations, institutions, etc. </w:t>
      </w:r>
      <w:r>
        <w:t xml:space="preserve">It is understood that this bilateral process between First Nations in Ontario and ISC will incorporate other </w:t>
      </w:r>
      <w:r w:rsidR="00AA4679">
        <w:t xml:space="preserve">connected </w:t>
      </w:r>
      <w:r>
        <w:t>entities as required to best support education and learning for First Nations communities</w:t>
      </w:r>
      <w:r w:rsidR="0001223E">
        <w:t>,</w:t>
      </w:r>
      <w:r>
        <w:t xml:space="preserve"> learners</w:t>
      </w:r>
      <w:r w:rsidR="0001223E">
        <w:t xml:space="preserve"> and designated entities</w:t>
      </w:r>
      <w:r w:rsidR="00646266">
        <w:t xml:space="preserve"> in Ontario</w:t>
      </w:r>
      <w:r>
        <w:t>.</w:t>
      </w:r>
    </w:p>
    <w:p w14:paraId="46CD638D" w14:textId="77777777" w:rsidR="0001223E" w:rsidRDefault="0001223E" w:rsidP="00193B4F">
      <w:pPr>
        <w:spacing w:line="276" w:lineRule="auto"/>
      </w:pPr>
      <w:r>
        <w:t xml:space="preserve">COO </w:t>
      </w:r>
      <w:r w:rsidR="0052782F">
        <w:t>undertakes</w:t>
      </w:r>
      <w:r>
        <w:t xml:space="preserve"> inter-sectoral </w:t>
      </w:r>
      <w:r w:rsidR="0052782F">
        <w:t>work on a regular basis</w:t>
      </w:r>
      <w:r>
        <w:t xml:space="preserve"> to capitalize on synergy and avoid duplication of efforts. </w:t>
      </w:r>
      <w:r w:rsidR="00512A80">
        <w:t>T</w:t>
      </w:r>
      <w:r w:rsidR="0052782F">
        <w:t>his proposed</w:t>
      </w:r>
      <w:r>
        <w:t xml:space="preserve"> bilateral partnership will benefit from this </w:t>
      </w:r>
      <w:r w:rsidR="0052782F">
        <w:t>practice</w:t>
      </w:r>
      <w:r>
        <w:t>.</w:t>
      </w:r>
    </w:p>
    <w:p w14:paraId="5070DFEE" w14:textId="77777777" w:rsidR="00C56B00" w:rsidRDefault="0052782F" w:rsidP="00193B4F">
      <w:pPr>
        <w:spacing w:line="276" w:lineRule="auto"/>
      </w:pPr>
      <w:r>
        <w:t>COO currently has a bilateral Advisory Table with ISC on the Interim Funding Approach</w:t>
      </w:r>
      <w:r w:rsidR="00C56B00">
        <w:t xml:space="preserve"> for K-12 education. </w:t>
      </w:r>
      <w:r w:rsidR="00512A80">
        <w:t>The</w:t>
      </w:r>
      <w:r w:rsidR="00C56B00">
        <w:t xml:space="preserve"> Ontario Technical Table on the Interim Funding Approach </w:t>
      </w:r>
      <w:r w:rsidR="003150B5">
        <w:t xml:space="preserve">(OTTIFA) </w:t>
      </w:r>
      <w:r w:rsidR="00C56B00">
        <w:t xml:space="preserve">will be </w:t>
      </w:r>
      <w:r w:rsidR="00512A80">
        <w:t>included</w:t>
      </w:r>
      <w:r w:rsidR="00C56B00">
        <w:t xml:space="preserve"> as a priority area in this ov</w:t>
      </w:r>
      <w:r w:rsidR="00512A80">
        <w:t>erarching bilateral framework. The experience and success of the OTTIFA provides a solid basis to build upon moving forward.</w:t>
      </w:r>
    </w:p>
    <w:p w14:paraId="154B80C9" w14:textId="46A2642E" w:rsidR="0035542F" w:rsidRPr="00250126" w:rsidRDefault="0035542F" w:rsidP="00193B4F">
      <w:pPr>
        <w:spacing w:line="276" w:lineRule="auto"/>
      </w:pPr>
      <w:r>
        <w:lastRenderedPageBreak/>
        <w:t xml:space="preserve">COO and ISC have also established interim bilateral tables on the Education Partnerships Program and Post-Secondary Education. </w:t>
      </w:r>
      <w:r w:rsidR="005F5315">
        <w:t>T</w:t>
      </w:r>
      <w:r>
        <w:t xml:space="preserve">hese interim bilateral tables </w:t>
      </w:r>
      <w:proofErr w:type="gramStart"/>
      <w:r>
        <w:t xml:space="preserve">will be </w:t>
      </w:r>
      <w:r w:rsidR="0020677E">
        <w:t>incorporated</w:t>
      </w:r>
      <w:proofErr w:type="gramEnd"/>
      <w:r w:rsidR="0020677E">
        <w:t xml:space="preserve"> as priority areas within this bilateral framework.</w:t>
      </w:r>
    </w:p>
    <w:p w14:paraId="0C9851E6" w14:textId="22B36EF3" w:rsidR="00127995" w:rsidRDefault="00646266" w:rsidP="00127995">
      <w:pPr>
        <w:pStyle w:val="Heading2"/>
      </w:pPr>
      <w:bookmarkStart w:id="7" w:name="_Toc80871211"/>
      <w:r>
        <w:t xml:space="preserve">First Nations </w:t>
      </w:r>
      <w:r w:rsidR="00127995">
        <w:t>Principles:</w:t>
      </w:r>
      <w:bookmarkEnd w:id="7"/>
    </w:p>
    <w:p w14:paraId="4A8AA4D8" w14:textId="77777777" w:rsidR="00127995" w:rsidRDefault="00127995" w:rsidP="00127995">
      <w:r>
        <w:t>The parties will work in a collaborative manner that is consistent with the following principles:</w:t>
      </w:r>
    </w:p>
    <w:p w14:paraId="43E2C677" w14:textId="5EEA1672" w:rsidR="00414450" w:rsidRDefault="00414450" w:rsidP="00414450">
      <w:pPr>
        <w:pStyle w:val="ListParagraph"/>
        <w:numPr>
          <w:ilvl w:val="0"/>
          <w:numId w:val="12"/>
        </w:numPr>
        <w:spacing w:line="276" w:lineRule="auto"/>
      </w:pPr>
      <w:r>
        <w:t xml:space="preserve">First Nations have an </w:t>
      </w:r>
      <w:r w:rsidR="004C7072">
        <w:t>I</w:t>
      </w:r>
      <w:r>
        <w:t xml:space="preserve">nherent and Treaty </w:t>
      </w:r>
      <w:r w:rsidR="00786485">
        <w:t>R</w:t>
      </w:r>
      <w:r>
        <w:t>ight to education and each First Nation has authority and autonomy with respect to lifelong learning.</w:t>
      </w:r>
    </w:p>
    <w:p w14:paraId="6DE48E75" w14:textId="77777777" w:rsidR="00414450" w:rsidRDefault="00414450" w:rsidP="00414450">
      <w:pPr>
        <w:pStyle w:val="ListParagraph"/>
        <w:numPr>
          <w:ilvl w:val="0"/>
          <w:numId w:val="12"/>
        </w:numPr>
        <w:spacing w:line="276" w:lineRule="auto"/>
      </w:pPr>
      <w:r>
        <w:t xml:space="preserve">Recognize First Nation’s vision of holistic, lifelong learning that ensures all learners have access to quality programs </w:t>
      </w:r>
      <w:r w:rsidR="00416660">
        <w:t xml:space="preserve">and services </w:t>
      </w:r>
      <w:r>
        <w:t>within a linguistically and culturally appropriate learning environment.</w:t>
      </w:r>
    </w:p>
    <w:p w14:paraId="743A066D" w14:textId="77777777" w:rsidR="00414450" w:rsidRDefault="00414450" w:rsidP="00414450">
      <w:pPr>
        <w:pStyle w:val="ListParagraph"/>
        <w:numPr>
          <w:ilvl w:val="0"/>
          <w:numId w:val="12"/>
        </w:numPr>
        <w:spacing w:line="276" w:lineRule="auto"/>
      </w:pPr>
      <w:r>
        <w:t xml:space="preserve">Acknowledge and </w:t>
      </w:r>
      <w:proofErr w:type="spellStart"/>
      <w:r>
        <w:t>honour</w:t>
      </w:r>
      <w:proofErr w:type="spellEnd"/>
      <w:r>
        <w:t xml:space="preserve"> the autonomy of each First Nation to determine their own education systems, funding mechanisms and processes.</w:t>
      </w:r>
    </w:p>
    <w:p w14:paraId="71158166" w14:textId="77777777" w:rsidR="00414450" w:rsidRDefault="00414450" w:rsidP="00414450">
      <w:pPr>
        <w:pStyle w:val="ListParagraph"/>
        <w:numPr>
          <w:ilvl w:val="0"/>
          <w:numId w:val="12"/>
        </w:numPr>
        <w:spacing w:line="276" w:lineRule="auto"/>
      </w:pPr>
      <w:r>
        <w:t>Recognize and respect the strength and the diversity of First Nation peoples, communities, languages, cultures, traditions and spiritual practices.</w:t>
      </w:r>
    </w:p>
    <w:p w14:paraId="6112255B" w14:textId="29CFB8E6" w:rsidR="00414450" w:rsidRPr="00E157C0" w:rsidRDefault="00414450" w:rsidP="00414450">
      <w:pPr>
        <w:pStyle w:val="ListParagraph"/>
        <w:numPr>
          <w:ilvl w:val="0"/>
          <w:numId w:val="12"/>
        </w:numPr>
        <w:spacing w:line="276" w:lineRule="auto"/>
      </w:pPr>
      <w:r w:rsidRPr="00E157C0">
        <w:t xml:space="preserve">Acknowledge that transparency is paramount and all activities and outcomes </w:t>
      </w:r>
      <w:proofErr w:type="gramStart"/>
      <w:r w:rsidRPr="00E157C0">
        <w:t>must be made</w:t>
      </w:r>
      <w:proofErr w:type="gramEnd"/>
      <w:r w:rsidRPr="00E157C0">
        <w:t xml:space="preserve"> available to </w:t>
      </w:r>
      <w:r w:rsidR="00416660">
        <w:t xml:space="preserve">all </w:t>
      </w:r>
      <w:r w:rsidRPr="00E157C0">
        <w:t>First Nation</w:t>
      </w:r>
      <w:r w:rsidR="00086DBA">
        <w:t>s</w:t>
      </w:r>
      <w:r w:rsidRPr="00E157C0">
        <w:t xml:space="preserve">. </w:t>
      </w:r>
    </w:p>
    <w:p w14:paraId="10300547" w14:textId="77777777" w:rsidR="00414450" w:rsidRPr="00E157C0" w:rsidRDefault="00414450" w:rsidP="00414450">
      <w:pPr>
        <w:pStyle w:val="ListParagraph"/>
        <w:numPr>
          <w:ilvl w:val="0"/>
          <w:numId w:val="12"/>
        </w:numPr>
        <w:spacing w:line="276" w:lineRule="auto"/>
      </w:pPr>
      <w:r w:rsidRPr="00E157C0">
        <w:t xml:space="preserve">Recognize </w:t>
      </w:r>
      <w:r>
        <w:t xml:space="preserve">and respect </w:t>
      </w:r>
      <w:r w:rsidRPr="00E157C0">
        <w:t xml:space="preserve">the importance of establishing, maintaining and making accessible accountability protocols. </w:t>
      </w:r>
    </w:p>
    <w:p w14:paraId="1D4739E1" w14:textId="20F50AE6" w:rsidR="00414450" w:rsidRPr="00E157C0" w:rsidRDefault="00414450" w:rsidP="00414450">
      <w:pPr>
        <w:pStyle w:val="ListParagraph"/>
        <w:numPr>
          <w:ilvl w:val="0"/>
          <w:numId w:val="12"/>
        </w:numPr>
        <w:spacing w:line="276" w:lineRule="auto"/>
      </w:pPr>
      <w:r w:rsidRPr="00E157C0">
        <w:t xml:space="preserve">Affirm the partners’ commitment to producing real outcomes </w:t>
      </w:r>
      <w:r>
        <w:t xml:space="preserve">and meaningful change </w:t>
      </w:r>
      <w:r w:rsidRPr="00E157C0">
        <w:t>that are relevant and support First Nation</w:t>
      </w:r>
      <w:r w:rsidR="00086DBA">
        <w:t xml:space="preserve">s </w:t>
      </w:r>
      <w:r w:rsidRPr="00E157C0">
        <w:t xml:space="preserve">in asserting their </w:t>
      </w:r>
      <w:r w:rsidR="00416660">
        <w:t xml:space="preserve">rights, </w:t>
      </w:r>
      <w:r w:rsidRPr="00E157C0">
        <w:t xml:space="preserve">sovereignty and jurisdiction over education and learning. </w:t>
      </w:r>
    </w:p>
    <w:p w14:paraId="50843259" w14:textId="3F4A44AD" w:rsidR="00414450" w:rsidRPr="00E157C0" w:rsidRDefault="00486DD8" w:rsidP="00414450">
      <w:pPr>
        <w:pStyle w:val="ListParagraph"/>
        <w:numPr>
          <w:ilvl w:val="0"/>
          <w:numId w:val="12"/>
        </w:numPr>
        <w:spacing w:line="276" w:lineRule="auto"/>
      </w:pPr>
      <w:r>
        <w:t xml:space="preserve">Affirm </w:t>
      </w:r>
      <w:r w:rsidR="00786485">
        <w:t>partners’</w:t>
      </w:r>
      <w:r>
        <w:t xml:space="preserve"> commitment to w</w:t>
      </w:r>
      <w:r w:rsidR="00414450" w:rsidRPr="00E157C0">
        <w:t xml:space="preserve">ork collaboratively towards innovative and creative </w:t>
      </w:r>
      <w:r w:rsidR="00416660">
        <w:t>options</w:t>
      </w:r>
      <w:r w:rsidR="00414450">
        <w:t xml:space="preserve"> </w:t>
      </w:r>
      <w:r w:rsidR="00414450" w:rsidRPr="00E157C0">
        <w:t>for First Nation</w:t>
      </w:r>
      <w:r w:rsidR="00086DBA">
        <w:t xml:space="preserve">s </w:t>
      </w:r>
      <w:r w:rsidR="00414450" w:rsidRPr="00E157C0">
        <w:t xml:space="preserve">to assert their </w:t>
      </w:r>
      <w:r w:rsidR="00416660">
        <w:t xml:space="preserve">rights, </w:t>
      </w:r>
      <w:r w:rsidR="00414450" w:rsidRPr="00E157C0">
        <w:t>sovereignty and jurisdiction over education and learning.</w:t>
      </w:r>
    </w:p>
    <w:p w14:paraId="7A8C505A" w14:textId="1F397033" w:rsidR="00414450" w:rsidRDefault="00414450" w:rsidP="00414450">
      <w:pPr>
        <w:pStyle w:val="ListParagraph"/>
        <w:numPr>
          <w:ilvl w:val="0"/>
          <w:numId w:val="12"/>
        </w:numPr>
        <w:spacing w:line="276" w:lineRule="auto"/>
      </w:pPr>
      <w:r>
        <w:t xml:space="preserve">Acknowledge Canada’s commitment to respect First Nations Control of First Nations </w:t>
      </w:r>
      <w:r w:rsidR="00786485">
        <w:t>e</w:t>
      </w:r>
      <w:r>
        <w:t>ducation.</w:t>
      </w:r>
    </w:p>
    <w:p w14:paraId="73F38C98" w14:textId="799215B6" w:rsidR="00414450" w:rsidRDefault="00414450" w:rsidP="00414450">
      <w:pPr>
        <w:pStyle w:val="ListParagraph"/>
        <w:numPr>
          <w:ilvl w:val="0"/>
          <w:numId w:val="12"/>
        </w:numPr>
        <w:spacing w:line="276" w:lineRule="auto"/>
      </w:pPr>
      <w:r>
        <w:t xml:space="preserve">Affirm Canada’s obligation to </w:t>
      </w:r>
      <w:r w:rsidR="00786485">
        <w:t>S</w:t>
      </w:r>
      <w:r>
        <w:t xml:space="preserve">ection 35 of the </w:t>
      </w:r>
      <w:r w:rsidRPr="00C34A6C">
        <w:rPr>
          <w:i/>
        </w:rPr>
        <w:t>Constitution Act, 1982</w:t>
      </w:r>
      <w:r>
        <w:t>, which recognizes and affirms existing Aboriginal and Treaty rights.</w:t>
      </w:r>
    </w:p>
    <w:p w14:paraId="6165A5D1" w14:textId="77777777" w:rsidR="00414450" w:rsidRDefault="00414450" w:rsidP="00414450">
      <w:pPr>
        <w:pStyle w:val="ListParagraph"/>
        <w:numPr>
          <w:ilvl w:val="0"/>
          <w:numId w:val="12"/>
        </w:numPr>
        <w:spacing w:line="276" w:lineRule="auto"/>
      </w:pPr>
      <w:r>
        <w:t>Affirm Canada’s commitment to implement the United Nations Declaration on the Rights of Indigenous Peoples and the UN Convention on the Rights of the Child, which promote and protect the inherent rights of First Nations learners.</w:t>
      </w:r>
    </w:p>
    <w:p w14:paraId="139733D9" w14:textId="0D03D59E" w:rsidR="00414450" w:rsidRDefault="00414450" w:rsidP="00414450">
      <w:pPr>
        <w:pStyle w:val="ListParagraph"/>
        <w:numPr>
          <w:ilvl w:val="0"/>
          <w:numId w:val="12"/>
        </w:numPr>
        <w:spacing w:line="276" w:lineRule="auto"/>
      </w:pPr>
      <w:r>
        <w:t xml:space="preserve">Recognize </w:t>
      </w:r>
      <w:r w:rsidR="00416660">
        <w:t xml:space="preserve">and implement </w:t>
      </w:r>
      <w:r>
        <w:t xml:space="preserve">the </w:t>
      </w:r>
      <w:r w:rsidR="00416660">
        <w:t>C</w:t>
      </w:r>
      <w:r>
        <w:t xml:space="preserve">alls to </w:t>
      </w:r>
      <w:r w:rsidR="00416660">
        <w:t>A</w:t>
      </w:r>
      <w:r>
        <w:t>ction related to lifelong learning from the Truth and Reconciliation</w:t>
      </w:r>
      <w:r w:rsidR="00E7501B">
        <w:rPr>
          <w:rStyle w:val="FootnoteReference"/>
        </w:rPr>
        <w:footnoteReference w:id="2"/>
      </w:r>
      <w:r>
        <w:t xml:space="preserve"> Commission.</w:t>
      </w:r>
    </w:p>
    <w:p w14:paraId="2AACB50B" w14:textId="77777777" w:rsidR="00251E54" w:rsidRDefault="00251E54" w:rsidP="00D860C5">
      <w:pPr>
        <w:pStyle w:val="Heading2"/>
      </w:pPr>
      <w:bookmarkStart w:id="8" w:name="_Toc80871212"/>
      <w:r>
        <w:t>Purpose</w:t>
      </w:r>
      <w:r w:rsidR="00127995">
        <w:t>/Objectives</w:t>
      </w:r>
      <w:r w:rsidR="00C01812">
        <w:t>/Pillars</w:t>
      </w:r>
      <w:r w:rsidR="007E6613">
        <w:t>:</w:t>
      </w:r>
      <w:bookmarkEnd w:id="8"/>
    </w:p>
    <w:p w14:paraId="3EAA3D17" w14:textId="2B4B29E2" w:rsidR="00C8653D" w:rsidRDefault="00C8653D" w:rsidP="00193B4F">
      <w:pPr>
        <w:spacing w:line="276" w:lineRule="auto"/>
      </w:pPr>
      <w:r>
        <w:t>The main purpose of the bilateral partnership is to ensure First Nations are able to shape the future of education through a collaborative process</w:t>
      </w:r>
      <w:r w:rsidR="0020724C">
        <w:t xml:space="preserve">. The bilateral partnership will be a mechanism to </w:t>
      </w:r>
      <w:r>
        <w:t xml:space="preserve">reform and develop educational </w:t>
      </w:r>
      <w:r w:rsidR="00CE190A">
        <w:t>funding, policies, processes, programs and services</w:t>
      </w:r>
      <w:r>
        <w:t xml:space="preserve"> that support </w:t>
      </w:r>
      <w:r w:rsidRPr="000D39C7">
        <w:t xml:space="preserve">all First Nations in Ontario </w:t>
      </w:r>
      <w:r>
        <w:t>in</w:t>
      </w:r>
      <w:r w:rsidRPr="000D39C7">
        <w:t xml:space="preserve"> assert</w:t>
      </w:r>
      <w:r>
        <w:t>ing</w:t>
      </w:r>
      <w:r w:rsidRPr="000D39C7">
        <w:t xml:space="preserve"> their </w:t>
      </w:r>
      <w:r w:rsidR="00416660">
        <w:t xml:space="preserve">right, </w:t>
      </w:r>
      <w:r w:rsidRPr="000D39C7">
        <w:t>sovereignty</w:t>
      </w:r>
      <w:r>
        <w:t xml:space="preserve"> and </w:t>
      </w:r>
      <w:r w:rsidRPr="000D39C7">
        <w:t>jurisdiction</w:t>
      </w:r>
      <w:r>
        <w:t xml:space="preserve"> over education and learning that meets the needs of First Nation communities, individuals and </w:t>
      </w:r>
      <w:r w:rsidR="00E74884">
        <w:t>d</w:t>
      </w:r>
      <w:r>
        <w:t xml:space="preserve">esignated </w:t>
      </w:r>
      <w:r w:rsidR="00E74884">
        <w:t>e</w:t>
      </w:r>
      <w:r>
        <w:t xml:space="preserve">ntities.  This framework provides a </w:t>
      </w:r>
      <w:r>
        <w:lastRenderedPageBreak/>
        <w:t xml:space="preserve">flexible structure to jointly carry out work </w:t>
      </w:r>
      <w:r w:rsidR="0021521E">
        <w:t xml:space="preserve">under </w:t>
      </w:r>
      <w:r>
        <w:t>four pillars: 1) Gathering and Sharing Information; 2) Drafting Recommendations; 3) Facilitation of Decisions and Approvals; and 4) Meaningful Change - Reform.</w:t>
      </w:r>
    </w:p>
    <w:p w14:paraId="23F669E2" w14:textId="77777777" w:rsidR="00C8653D" w:rsidRPr="00C8653D" w:rsidRDefault="00C8653D" w:rsidP="00C8653D"/>
    <w:p w14:paraId="3F48C45D" w14:textId="77777777" w:rsidR="00C56B00" w:rsidRDefault="00B76A39" w:rsidP="00C56B00">
      <w:r w:rsidRPr="00B76A39">
        <w:rPr>
          <w:noProof/>
        </w:rPr>
        <w:drawing>
          <wp:inline distT="0" distB="0" distL="0" distR="0" wp14:anchorId="24CF48F5" wp14:editId="3F2E9A93">
            <wp:extent cx="5943600" cy="4471035"/>
            <wp:effectExtent l="0" t="0" r="0" b="5715"/>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a:stretch>
                      <a:fillRect/>
                    </a:stretch>
                  </pic:blipFill>
                  <pic:spPr>
                    <a:xfrm>
                      <a:off x="0" y="0"/>
                      <a:ext cx="5943600" cy="4471035"/>
                    </a:xfrm>
                    <a:prstGeom prst="rect">
                      <a:avLst/>
                    </a:prstGeom>
                  </pic:spPr>
                </pic:pic>
              </a:graphicData>
            </a:graphic>
          </wp:inline>
        </w:drawing>
      </w:r>
    </w:p>
    <w:p w14:paraId="65A205A4" w14:textId="77777777" w:rsidR="009E2F84" w:rsidRDefault="009E2F84" w:rsidP="00C56B00">
      <w:r>
        <w:t xml:space="preserve"> </w:t>
      </w:r>
    </w:p>
    <w:p w14:paraId="13BF46F6" w14:textId="77777777" w:rsidR="00251E54" w:rsidRDefault="00251E54" w:rsidP="00D860C5">
      <w:pPr>
        <w:pStyle w:val="Heading2"/>
      </w:pPr>
      <w:bookmarkStart w:id="9" w:name="_Toc80871213"/>
      <w:r>
        <w:t>Scope</w:t>
      </w:r>
      <w:r w:rsidR="007E6613">
        <w:t>:</w:t>
      </w:r>
      <w:bookmarkEnd w:id="9"/>
    </w:p>
    <w:p w14:paraId="2C1211CD" w14:textId="77777777" w:rsidR="00875673" w:rsidRDefault="009E2F84" w:rsidP="00875673">
      <w:r>
        <w:t>The scope of the collaborative work will include</w:t>
      </w:r>
      <w:r w:rsidR="001E4BFF">
        <w:t>:</w:t>
      </w:r>
    </w:p>
    <w:p w14:paraId="4C41B56C" w14:textId="7457E85E" w:rsidR="001E4BFF" w:rsidRDefault="001E4BFF" w:rsidP="00A3509A">
      <w:r>
        <w:t>R</w:t>
      </w:r>
      <w:r w:rsidR="00875673">
        <w:t xml:space="preserve">eview and analysis </w:t>
      </w:r>
      <w:r w:rsidR="00777494">
        <w:t xml:space="preserve">(includes planning, research, communication, engagement, project management, reporting, etc.) </w:t>
      </w:r>
      <w:r w:rsidR="00875673">
        <w:t xml:space="preserve">of the full suite of education and learning </w:t>
      </w:r>
      <w:r w:rsidR="00CE190A">
        <w:t>funding, policies, processes, programs and services</w:t>
      </w:r>
      <w:r w:rsidR="00CE190A" w:rsidDel="00416660">
        <w:t xml:space="preserve"> </w:t>
      </w:r>
      <w:r w:rsidR="00875673">
        <w:t xml:space="preserve">currently offered </w:t>
      </w:r>
      <w:r w:rsidR="00646266">
        <w:t>to First Nations in Ontario</w:t>
      </w:r>
      <w:r w:rsidR="00875673">
        <w:t xml:space="preserve">. </w:t>
      </w:r>
      <w:r>
        <w:t xml:space="preserve">This includes, but is not limited </w:t>
      </w:r>
      <w:proofErr w:type="gramStart"/>
      <w:r>
        <w:t>to</w:t>
      </w:r>
      <w:proofErr w:type="gramEnd"/>
      <w:r>
        <w:t>:</w:t>
      </w:r>
    </w:p>
    <w:p w14:paraId="0FD9C2CF" w14:textId="77777777" w:rsidR="001E4BFF" w:rsidRDefault="001E4BFF" w:rsidP="00A3509A">
      <w:pPr>
        <w:pStyle w:val="ListParagraph"/>
        <w:numPr>
          <w:ilvl w:val="0"/>
          <w:numId w:val="20"/>
        </w:numPr>
      </w:pPr>
      <w:r>
        <w:t>Assessing what is working well that can continue and be built upon;</w:t>
      </w:r>
    </w:p>
    <w:p w14:paraId="3013391F" w14:textId="7AEFEA24" w:rsidR="001E4BFF" w:rsidRDefault="00416660" w:rsidP="00A3509A">
      <w:pPr>
        <w:pStyle w:val="ListParagraph"/>
        <w:numPr>
          <w:ilvl w:val="0"/>
          <w:numId w:val="20"/>
        </w:numPr>
      </w:pPr>
      <w:r>
        <w:t>Assessing w</w:t>
      </w:r>
      <w:r w:rsidR="001E4BFF">
        <w:t>hat is not working well and requires:</w:t>
      </w:r>
    </w:p>
    <w:p w14:paraId="6C831D65" w14:textId="6B7A44B9" w:rsidR="001E4BFF" w:rsidRDefault="001E4BFF" w:rsidP="00A3509A">
      <w:pPr>
        <w:pStyle w:val="ListParagraph"/>
        <w:numPr>
          <w:ilvl w:val="1"/>
          <w:numId w:val="20"/>
        </w:numPr>
      </w:pPr>
      <w:r>
        <w:t>Improvements</w:t>
      </w:r>
      <w:r w:rsidR="00A16298">
        <w:t xml:space="preserve"> – adaptions and modifications</w:t>
      </w:r>
    </w:p>
    <w:p w14:paraId="7D0BA24D" w14:textId="4CAB60AC" w:rsidR="00A16298" w:rsidRDefault="00A3509A" w:rsidP="00A3509A">
      <w:pPr>
        <w:pStyle w:val="ListParagraph"/>
        <w:numPr>
          <w:ilvl w:val="1"/>
          <w:numId w:val="20"/>
        </w:numPr>
      </w:pPr>
      <w:r>
        <w:t>Future e</w:t>
      </w:r>
      <w:r w:rsidR="001E4BFF">
        <w:t>limination and exploration of new options</w:t>
      </w:r>
      <w:r w:rsidR="005D6B89">
        <w:t>;</w:t>
      </w:r>
    </w:p>
    <w:p w14:paraId="425E527E" w14:textId="60F6567F" w:rsidR="00A16298" w:rsidRDefault="00A16298" w:rsidP="00A3509A">
      <w:pPr>
        <w:pStyle w:val="ListParagraph"/>
        <w:numPr>
          <w:ilvl w:val="0"/>
          <w:numId w:val="20"/>
        </w:numPr>
      </w:pPr>
      <w:r>
        <w:t xml:space="preserve">Determining what is missing from the current suite of education and learning </w:t>
      </w:r>
      <w:r w:rsidR="00CE190A">
        <w:t>funding, policies, processes, programs and services</w:t>
      </w:r>
      <w:r w:rsidR="00CE190A" w:rsidDel="00416660">
        <w:t xml:space="preserve"> </w:t>
      </w:r>
      <w:r w:rsidR="0077188C">
        <w:t>that</w:t>
      </w:r>
      <w:r>
        <w:t xml:space="preserve"> needs to be developed and put into place</w:t>
      </w:r>
      <w:r w:rsidR="00A3509A">
        <w:t>;</w:t>
      </w:r>
    </w:p>
    <w:p w14:paraId="378F829E" w14:textId="656123DF" w:rsidR="00A16298" w:rsidRDefault="00A16298" w:rsidP="00A3509A">
      <w:pPr>
        <w:pStyle w:val="ListParagraph"/>
        <w:numPr>
          <w:ilvl w:val="0"/>
          <w:numId w:val="20"/>
        </w:numPr>
      </w:pPr>
      <w:r>
        <w:lastRenderedPageBreak/>
        <w:t>Determin</w:t>
      </w:r>
      <w:r w:rsidR="00416660">
        <w:t>ing</w:t>
      </w:r>
      <w:r>
        <w:t xml:space="preserve"> changes required for First Nations to incorporate meaningful change (reform)</w:t>
      </w:r>
      <w:r w:rsidR="00A3509A">
        <w:t>:</w:t>
      </w:r>
    </w:p>
    <w:p w14:paraId="1792AEE2" w14:textId="65A87CE0" w:rsidR="00A16298" w:rsidRDefault="00A16298" w:rsidP="00A3509A">
      <w:pPr>
        <w:pStyle w:val="ListParagraph"/>
        <w:numPr>
          <w:ilvl w:val="1"/>
          <w:numId w:val="20"/>
        </w:numPr>
      </w:pPr>
      <w:r>
        <w:t>Supports required</w:t>
      </w:r>
    </w:p>
    <w:p w14:paraId="714BD284" w14:textId="0BCB87C7" w:rsidR="00A16298" w:rsidRDefault="00A16298" w:rsidP="00A3509A">
      <w:pPr>
        <w:pStyle w:val="ListParagraph"/>
        <w:numPr>
          <w:ilvl w:val="1"/>
          <w:numId w:val="20"/>
        </w:numPr>
      </w:pPr>
      <w:r>
        <w:t>Capacity development</w:t>
      </w:r>
    </w:p>
    <w:p w14:paraId="04D7F78F" w14:textId="20D7A187" w:rsidR="00A3509A" w:rsidRDefault="00A3509A" w:rsidP="00A3509A">
      <w:pPr>
        <w:pStyle w:val="ListParagraph"/>
        <w:numPr>
          <w:ilvl w:val="1"/>
          <w:numId w:val="20"/>
        </w:numPr>
      </w:pPr>
      <w:r>
        <w:t>Funding requirements;</w:t>
      </w:r>
      <w:r w:rsidR="00533C7E">
        <w:t xml:space="preserve"> and</w:t>
      </w:r>
    </w:p>
    <w:p w14:paraId="6C40E81D" w14:textId="77777777" w:rsidR="00A16298" w:rsidRDefault="00A16298" w:rsidP="00A3509A">
      <w:pPr>
        <w:pStyle w:val="ListParagraph"/>
        <w:numPr>
          <w:ilvl w:val="0"/>
          <w:numId w:val="20"/>
        </w:numPr>
      </w:pPr>
      <w:r>
        <w:t>Determine changes required for ISC to facilitate and accommodate meaningful change (reform)</w:t>
      </w:r>
      <w:r w:rsidR="00A3509A">
        <w:t>:</w:t>
      </w:r>
    </w:p>
    <w:p w14:paraId="11157F19" w14:textId="1A248E13" w:rsidR="00A3509A" w:rsidRDefault="00A3509A" w:rsidP="00A3509A">
      <w:pPr>
        <w:pStyle w:val="ListParagraph"/>
        <w:numPr>
          <w:ilvl w:val="1"/>
          <w:numId w:val="20"/>
        </w:numPr>
      </w:pPr>
      <w:r>
        <w:t>Accountability mechanisms and protocols</w:t>
      </w:r>
    </w:p>
    <w:p w14:paraId="00B99E8E" w14:textId="076B2BE6" w:rsidR="009E2F84" w:rsidRDefault="00A16298" w:rsidP="00A3509A">
      <w:pPr>
        <w:pStyle w:val="ListParagraph"/>
        <w:numPr>
          <w:ilvl w:val="1"/>
          <w:numId w:val="20"/>
        </w:numPr>
      </w:pPr>
      <w:r>
        <w:t xml:space="preserve">Changes to </w:t>
      </w:r>
      <w:r w:rsidR="00CE190A">
        <w:t xml:space="preserve">funding, policies, processes, programs and services </w:t>
      </w:r>
      <w:r w:rsidR="00000394">
        <w:t xml:space="preserve">federal </w:t>
      </w:r>
      <w:r>
        <w:t>authorities</w:t>
      </w:r>
    </w:p>
    <w:p w14:paraId="6C045119" w14:textId="357FC47D" w:rsidR="00A16298" w:rsidRDefault="00A16298" w:rsidP="00A3509A">
      <w:pPr>
        <w:pStyle w:val="ListParagraph"/>
        <w:numPr>
          <w:ilvl w:val="1"/>
          <w:numId w:val="20"/>
        </w:numPr>
      </w:pPr>
      <w:r>
        <w:t xml:space="preserve">Changes to funding </w:t>
      </w:r>
      <w:r w:rsidR="005B025F">
        <w:t xml:space="preserve">approaches, </w:t>
      </w:r>
      <w:r w:rsidR="00A3509A">
        <w:t xml:space="preserve">mechanisms and </w:t>
      </w:r>
      <w:r>
        <w:t>methodologies</w:t>
      </w:r>
    </w:p>
    <w:p w14:paraId="7CA83007" w14:textId="01A1B027" w:rsidR="00A16298" w:rsidRDefault="00A16298" w:rsidP="00A3509A">
      <w:pPr>
        <w:pStyle w:val="ListParagraph"/>
        <w:numPr>
          <w:ilvl w:val="1"/>
          <w:numId w:val="20"/>
        </w:numPr>
      </w:pPr>
      <w:r>
        <w:t>Changes to funding levels</w:t>
      </w:r>
    </w:p>
    <w:p w14:paraId="5B478356" w14:textId="32EF793F" w:rsidR="00A16298" w:rsidRDefault="00A16298" w:rsidP="00A3509A">
      <w:pPr>
        <w:pStyle w:val="ListParagraph"/>
        <w:numPr>
          <w:ilvl w:val="1"/>
          <w:numId w:val="20"/>
        </w:numPr>
      </w:pPr>
      <w:r>
        <w:t>Legislative change</w:t>
      </w:r>
    </w:p>
    <w:p w14:paraId="618671C0" w14:textId="77777777" w:rsidR="00777494" w:rsidRDefault="00777494" w:rsidP="00355B31">
      <w:pPr>
        <w:pStyle w:val="Heading2"/>
      </w:pPr>
      <w:bookmarkStart w:id="10" w:name="_Toc80871214"/>
      <w:r>
        <w:t>Proposed Structure</w:t>
      </w:r>
      <w:r w:rsidR="00A91147">
        <w:t xml:space="preserve"> and Responsibilities</w:t>
      </w:r>
      <w:r>
        <w:t>:</w:t>
      </w:r>
      <w:bookmarkEnd w:id="10"/>
    </w:p>
    <w:p w14:paraId="7DC6C816" w14:textId="77777777" w:rsidR="00A1455A" w:rsidRDefault="00A1455A" w:rsidP="00A1455A">
      <w:r>
        <w:t>Ontario Bilateral Education &amp; Learning Table (OBELT) Core Table</w:t>
      </w:r>
      <w:r w:rsidR="0020677E">
        <w:t xml:space="preserve"> will</w:t>
      </w:r>
      <w:r>
        <w:t>:</w:t>
      </w:r>
    </w:p>
    <w:p w14:paraId="4DF6DF10" w14:textId="3471F471" w:rsidR="00A1455A" w:rsidRDefault="00A1455A" w:rsidP="00A1455A">
      <w:pPr>
        <w:pStyle w:val="ListParagraph"/>
        <w:numPr>
          <w:ilvl w:val="0"/>
          <w:numId w:val="22"/>
        </w:numPr>
      </w:pPr>
      <w:r>
        <w:t xml:space="preserve">Include </w:t>
      </w:r>
      <w:r w:rsidR="00486DD8" w:rsidRPr="009043F6">
        <w:t>representation from the CTCLL</w:t>
      </w:r>
      <w:r>
        <w:t xml:space="preserve">, ISC Ontario region </w:t>
      </w:r>
      <w:r w:rsidR="00646266">
        <w:t xml:space="preserve">Director General and/or </w:t>
      </w:r>
      <w:r>
        <w:t xml:space="preserve">Director </w:t>
      </w:r>
      <w:r w:rsidR="00ED766A">
        <w:t xml:space="preserve">Education &amp; Social Development Programs &amp; Partnerships - </w:t>
      </w:r>
      <w:r>
        <w:t>ESDPP</w:t>
      </w:r>
      <w:r w:rsidR="00A91147">
        <w:t xml:space="preserve"> (or designate)</w:t>
      </w:r>
      <w:r>
        <w:t>, ISC</w:t>
      </w:r>
      <w:r w:rsidR="00ED766A">
        <w:t>-</w:t>
      </w:r>
      <w:r>
        <w:t xml:space="preserve">HQ </w:t>
      </w:r>
      <w:r w:rsidR="00646266">
        <w:t xml:space="preserve">Director General and/or </w:t>
      </w:r>
      <w:r w:rsidR="00ED766A">
        <w:t xml:space="preserve">Associate Deputy Minister Education &amp; Social Development Programs &amp; Partnerships </w:t>
      </w:r>
      <w:r>
        <w:t>ESDPP</w:t>
      </w:r>
      <w:r w:rsidR="00A91147">
        <w:t xml:space="preserve"> (or designate)</w:t>
      </w:r>
      <w:r w:rsidR="00456D13">
        <w:t xml:space="preserve"> and members of other federal departments as required</w:t>
      </w:r>
    </w:p>
    <w:p w14:paraId="12D85862" w14:textId="77777777" w:rsidR="00A91147" w:rsidRDefault="00486DD8" w:rsidP="00A91147">
      <w:pPr>
        <w:pStyle w:val="ListParagraph"/>
        <w:numPr>
          <w:ilvl w:val="1"/>
          <w:numId w:val="22"/>
        </w:numPr>
      </w:pPr>
      <w:r w:rsidRPr="009043F6">
        <w:t>The CTCLL representatives at the Core Table</w:t>
      </w:r>
      <w:r>
        <w:t xml:space="preserve"> </w:t>
      </w:r>
      <w:r w:rsidR="00A91147">
        <w:t xml:space="preserve">obtain direction and guidance from </w:t>
      </w:r>
      <w:r>
        <w:t xml:space="preserve">the </w:t>
      </w:r>
      <w:r w:rsidR="004074C3">
        <w:t>CTCLL</w:t>
      </w:r>
      <w:r w:rsidR="00A91147">
        <w:t>, Leadership Council and Chiefs</w:t>
      </w:r>
      <w:r w:rsidR="00456D13">
        <w:t xml:space="preserve"> </w:t>
      </w:r>
      <w:r w:rsidR="00A91147">
        <w:t>in</w:t>
      </w:r>
      <w:r w:rsidR="00456D13">
        <w:t xml:space="preserve"> </w:t>
      </w:r>
      <w:r w:rsidR="00A91147">
        <w:t>Assembly and bring forward to OBELT Core Team</w:t>
      </w:r>
    </w:p>
    <w:p w14:paraId="10C36CD7" w14:textId="77777777" w:rsidR="004C7072" w:rsidRDefault="004C7072" w:rsidP="00A1455A">
      <w:pPr>
        <w:pStyle w:val="ListParagraph"/>
        <w:numPr>
          <w:ilvl w:val="0"/>
          <w:numId w:val="22"/>
        </w:numPr>
      </w:pPr>
      <w:r>
        <w:t>Develop a Terms of Reference for ongoing work that is approved through the appropriate decision-making processes of each party</w:t>
      </w:r>
    </w:p>
    <w:p w14:paraId="3433214A" w14:textId="280B3EC1" w:rsidR="00870F3D" w:rsidRDefault="0020677E" w:rsidP="00A1455A">
      <w:pPr>
        <w:pStyle w:val="ListParagraph"/>
        <w:numPr>
          <w:ilvl w:val="0"/>
          <w:numId w:val="22"/>
        </w:numPr>
      </w:pPr>
      <w:r>
        <w:t>D</w:t>
      </w:r>
      <w:r w:rsidR="00870F3D">
        <w:t xml:space="preserve">evelop </w:t>
      </w:r>
      <w:r>
        <w:t xml:space="preserve">a </w:t>
      </w:r>
      <w:r w:rsidR="00870F3D">
        <w:t>5</w:t>
      </w:r>
      <w:r w:rsidR="005D6B89">
        <w:t>-</w:t>
      </w:r>
      <w:r w:rsidR="00870F3D">
        <w:t>Year Strategic Plan</w:t>
      </w:r>
      <w:r w:rsidR="00806901">
        <w:t xml:space="preserve"> based on evaluation of the current suite of ISC </w:t>
      </w:r>
      <w:r w:rsidR="00CE190A">
        <w:t>funding, policies, processes, programs and services</w:t>
      </w:r>
      <w:r w:rsidR="00806901">
        <w:t xml:space="preserve"> and gaps identified by First Nation communities, individuals and </w:t>
      </w:r>
      <w:r w:rsidR="00E74884">
        <w:t>d</w:t>
      </w:r>
      <w:r w:rsidR="00806901">
        <w:t xml:space="preserve">esignated </w:t>
      </w:r>
      <w:r w:rsidR="00E74884">
        <w:t>e</w:t>
      </w:r>
      <w:r w:rsidR="00806901">
        <w:t>ntities</w:t>
      </w:r>
    </w:p>
    <w:p w14:paraId="2890DBAA" w14:textId="77777777" w:rsidR="00A1455A" w:rsidRDefault="0020677E" w:rsidP="00A1455A">
      <w:pPr>
        <w:pStyle w:val="ListParagraph"/>
        <w:numPr>
          <w:ilvl w:val="0"/>
          <w:numId w:val="22"/>
        </w:numPr>
      </w:pPr>
      <w:r>
        <w:t>M</w:t>
      </w:r>
      <w:r w:rsidR="00A1455A">
        <w:t xml:space="preserve">eet quarterly </w:t>
      </w:r>
      <w:r w:rsidR="00D26C97">
        <w:t xml:space="preserve">(at a minimum) </w:t>
      </w:r>
      <w:r w:rsidR="00A1455A">
        <w:t xml:space="preserve">to review, discuss, approve and provide feedback as necessary on </w:t>
      </w:r>
      <w:r w:rsidR="00A91147">
        <w:t>Work</w:t>
      </w:r>
      <w:r w:rsidR="00A1455A" w:rsidRPr="00B14FA4">
        <w:t xml:space="preserve"> Plan</w:t>
      </w:r>
      <w:r w:rsidR="00A1455A">
        <w:t>s</w:t>
      </w:r>
      <w:r w:rsidR="00A1455A" w:rsidRPr="00B14FA4">
        <w:t xml:space="preserve">, Action Plans, </w:t>
      </w:r>
      <w:r w:rsidR="00A91147">
        <w:t xml:space="preserve">Operational Terms, </w:t>
      </w:r>
      <w:r w:rsidR="00A1455A">
        <w:t xml:space="preserve">Critical Paths, </w:t>
      </w:r>
      <w:r w:rsidR="00A91147">
        <w:t xml:space="preserve">Priority Team reports, </w:t>
      </w:r>
      <w:r w:rsidR="00A1455A">
        <w:t>Recommendations</w:t>
      </w:r>
      <w:r w:rsidR="00870F3D">
        <w:t xml:space="preserve">, </w:t>
      </w:r>
      <w:r w:rsidR="00A1455A">
        <w:t>(prior to moving into respective processes)</w:t>
      </w:r>
    </w:p>
    <w:p w14:paraId="5847E30C" w14:textId="77777777" w:rsidR="00870F3D" w:rsidRDefault="0020677E" w:rsidP="00A1455A">
      <w:pPr>
        <w:pStyle w:val="ListParagraph"/>
        <w:numPr>
          <w:ilvl w:val="0"/>
          <w:numId w:val="22"/>
        </w:numPr>
      </w:pPr>
      <w:r>
        <w:t>Conduct an a</w:t>
      </w:r>
      <w:r w:rsidR="00870F3D">
        <w:t xml:space="preserve">nnual evaluation of the Bilateral Process </w:t>
      </w:r>
      <w:r>
        <w:t>and</w:t>
      </w:r>
      <w:r w:rsidR="00870F3D">
        <w:t xml:space="preserve"> report </w:t>
      </w:r>
      <w:r>
        <w:t xml:space="preserve">directly </w:t>
      </w:r>
      <w:r w:rsidR="00870F3D">
        <w:t>to First Nation communities</w:t>
      </w:r>
    </w:p>
    <w:p w14:paraId="58DE187A" w14:textId="570DD654" w:rsidR="00A91147" w:rsidRDefault="00A91147" w:rsidP="00A91147">
      <w:pPr>
        <w:pStyle w:val="ListParagraph"/>
        <w:numPr>
          <w:ilvl w:val="1"/>
          <w:numId w:val="22"/>
        </w:numPr>
      </w:pPr>
      <w:r>
        <w:t>COO Director</w:t>
      </w:r>
      <w:r w:rsidR="0020677E">
        <w:t xml:space="preserve"> </w:t>
      </w:r>
      <w:r w:rsidR="00486DD8">
        <w:t xml:space="preserve">of Education </w:t>
      </w:r>
      <w:r w:rsidR="0020677E">
        <w:t>and/</w:t>
      </w:r>
      <w:r>
        <w:t xml:space="preserve">or COO Education Portfolio </w:t>
      </w:r>
      <w:r w:rsidR="005D6B89">
        <w:t xml:space="preserve">Holder </w:t>
      </w:r>
      <w:r>
        <w:t>reports annually to Chiefs</w:t>
      </w:r>
      <w:r w:rsidR="00613D55">
        <w:t xml:space="preserve"> </w:t>
      </w:r>
      <w:r>
        <w:t>in</w:t>
      </w:r>
      <w:r w:rsidR="00613D55">
        <w:t xml:space="preserve"> </w:t>
      </w:r>
      <w:r>
        <w:t>Assembly</w:t>
      </w:r>
    </w:p>
    <w:p w14:paraId="5B5DE758" w14:textId="77777777" w:rsidR="00870F3D" w:rsidRDefault="00870F3D" w:rsidP="00A1455A">
      <w:pPr>
        <w:pStyle w:val="ListParagraph"/>
        <w:numPr>
          <w:ilvl w:val="0"/>
          <w:numId w:val="22"/>
        </w:numPr>
      </w:pPr>
      <w:r>
        <w:t xml:space="preserve">Develop, approve and disseminate communication </w:t>
      </w:r>
    </w:p>
    <w:p w14:paraId="3C8111CE" w14:textId="77777777" w:rsidR="00870F3D" w:rsidRDefault="00870F3D" w:rsidP="00A1455A">
      <w:pPr>
        <w:pStyle w:val="ListParagraph"/>
        <w:numPr>
          <w:ilvl w:val="0"/>
          <w:numId w:val="22"/>
        </w:numPr>
      </w:pPr>
      <w:r>
        <w:t>Incorporate emerging issues into Strategic Plan</w:t>
      </w:r>
    </w:p>
    <w:p w14:paraId="3E94E8D3" w14:textId="77777777" w:rsidR="00A91147" w:rsidRDefault="00346B2B" w:rsidP="00A91147">
      <w:r>
        <w:t xml:space="preserve">OBELT </w:t>
      </w:r>
      <w:r w:rsidR="00A91147">
        <w:t>Priority Teams:</w:t>
      </w:r>
    </w:p>
    <w:p w14:paraId="71B4AA16" w14:textId="77777777" w:rsidR="00D26C97" w:rsidRDefault="00D26C97" w:rsidP="00A91147">
      <w:pPr>
        <w:pStyle w:val="ListParagraph"/>
        <w:numPr>
          <w:ilvl w:val="0"/>
          <w:numId w:val="23"/>
        </w:numPr>
      </w:pPr>
      <w:r>
        <w:t>Begin with:</w:t>
      </w:r>
    </w:p>
    <w:p w14:paraId="3AEDFA1D" w14:textId="77777777" w:rsidR="00D26C97" w:rsidRDefault="00D26C97" w:rsidP="00D26C97">
      <w:pPr>
        <w:pStyle w:val="ListParagraph"/>
        <w:numPr>
          <w:ilvl w:val="1"/>
          <w:numId w:val="23"/>
        </w:numPr>
      </w:pPr>
      <w:r>
        <w:t xml:space="preserve">Post-Secondary </w:t>
      </w:r>
    </w:p>
    <w:p w14:paraId="56A10892" w14:textId="77777777" w:rsidR="00346B2B" w:rsidRDefault="00D26C97" w:rsidP="00D26C97">
      <w:pPr>
        <w:pStyle w:val="ListParagraph"/>
        <w:numPr>
          <w:ilvl w:val="1"/>
          <w:numId w:val="23"/>
        </w:numPr>
      </w:pPr>
      <w:r>
        <w:t>K-12 (OTTIFA)</w:t>
      </w:r>
    </w:p>
    <w:p w14:paraId="7AD2A14D" w14:textId="77777777" w:rsidR="00346B2B" w:rsidRDefault="00346B2B" w:rsidP="00D26C97">
      <w:pPr>
        <w:pStyle w:val="ListParagraph"/>
        <w:numPr>
          <w:ilvl w:val="1"/>
          <w:numId w:val="23"/>
        </w:numPr>
      </w:pPr>
      <w:r>
        <w:t>Education Partnerships Program</w:t>
      </w:r>
      <w:r w:rsidR="00C1002F">
        <w:t xml:space="preserve"> (</w:t>
      </w:r>
      <w:r w:rsidR="00C1002F" w:rsidRPr="00C1002F">
        <w:t>EPP</w:t>
      </w:r>
      <w:r w:rsidR="00C1002F">
        <w:t>)</w:t>
      </w:r>
    </w:p>
    <w:p w14:paraId="7D83061F" w14:textId="77777777" w:rsidR="00D26C97" w:rsidRPr="00C1002F" w:rsidRDefault="00346B2B" w:rsidP="00D26C97">
      <w:pPr>
        <w:pStyle w:val="ListParagraph"/>
        <w:numPr>
          <w:ilvl w:val="1"/>
          <w:numId w:val="23"/>
        </w:numPr>
      </w:pPr>
      <w:r w:rsidRPr="00C1002F">
        <w:t>Infrastructure</w:t>
      </w:r>
      <w:r w:rsidR="00D26C97" w:rsidRPr="00C1002F">
        <w:t xml:space="preserve">  </w:t>
      </w:r>
    </w:p>
    <w:p w14:paraId="268EDCE8" w14:textId="77777777" w:rsidR="00806901" w:rsidRDefault="00806901" w:rsidP="00A91147">
      <w:pPr>
        <w:pStyle w:val="ListParagraph"/>
        <w:numPr>
          <w:ilvl w:val="0"/>
          <w:numId w:val="23"/>
        </w:numPr>
      </w:pPr>
      <w:r>
        <w:t>Led by co-leads (</w:t>
      </w:r>
      <w:r w:rsidR="004074C3">
        <w:t>CTCLL</w:t>
      </w:r>
      <w:r w:rsidR="0021521E">
        <w:t xml:space="preserve"> designated </w:t>
      </w:r>
      <w:r>
        <w:t>Lead/ISC Lead)</w:t>
      </w:r>
    </w:p>
    <w:p w14:paraId="51BD7DAE" w14:textId="77777777" w:rsidR="00D26C97" w:rsidRDefault="00D26C97" w:rsidP="00A91147">
      <w:pPr>
        <w:pStyle w:val="ListParagraph"/>
        <w:numPr>
          <w:ilvl w:val="0"/>
          <w:numId w:val="23"/>
        </w:numPr>
      </w:pPr>
      <w:r>
        <w:t>Guided by Operational Terms under the OBELT Terms of Reference</w:t>
      </w:r>
    </w:p>
    <w:p w14:paraId="6D8B6E66" w14:textId="51662F90" w:rsidR="00806901" w:rsidRDefault="005B025F" w:rsidP="00A91147">
      <w:pPr>
        <w:pStyle w:val="ListParagraph"/>
        <w:numPr>
          <w:ilvl w:val="0"/>
          <w:numId w:val="23"/>
        </w:numPr>
      </w:pPr>
      <w:r>
        <w:lastRenderedPageBreak/>
        <w:t xml:space="preserve">Supported by </w:t>
      </w:r>
      <w:r w:rsidR="00806901">
        <w:t>Coordinators put in place to coordinate the activities of Priority Teams</w:t>
      </w:r>
    </w:p>
    <w:p w14:paraId="1917385E" w14:textId="77777777" w:rsidR="00806901" w:rsidRDefault="00D26C97" w:rsidP="00806901">
      <w:pPr>
        <w:pStyle w:val="ListParagraph"/>
        <w:numPr>
          <w:ilvl w:val="1"/>
          <w:numId w:val="23"/>
        </w:numPr>
      </w:pPr>
      <w:r>
        <w:t>Prepare meeting notes, reports,</w:t>
      </w:r>
      <w:r w:rsidR="00806901">
        <w:t xml:space="preserve"> documents</w:t>
      </w:r>
      <w:r>
        <w:t>, etc.</w:t>
      </w:r>
    </w:p>
    <w:p w14:paraId="2ADA249F" w14:textId="77777777" w:rsidR="00806901" w:rsidRDefault="00D26C97" w:rsidP="00806901">
      <w:pPr>
        <w:pStyle w:val="ListParagraph"/>
        <w:numPr>
          <w:ilvl w:val="1"/>
          <w:numId w:val="23"/>
        </w:numPr>
      </w:pPr>
      <w:r>
        <w:t>Coordinate meetings and community engagement</w:t>
      </w:r>
    </w:p>
    <w:p w14:paraId="0DBBC3A1" w14:textId="77777777" w:rsidR="00346B2B" w:rsidRDefault="00346B2B" w:rsidP="00806901">
      <w:pPr>
        <w:pStyle w:val="ListParagraph"/>
        <w:numPr>
          <w:ilvl w:val="1"/>
          <w:numId w:val="23"/>
        </w:numPr>
      </w:pPr>
      <w:r>
        <w:t>Process compensation for participants</w:t>
      </w:r>
    </w:p>
    <w:p w14:paraId="774C9F1F" w14:textId="77777777" w:rsidR="00A91147" w:rsidRDefault="00806901" w:rsidP="00A91147">
      <w:pPr>
        <w:pStyle w:val="ListParagraph"/>
        <w:numPr>
          <w:ilvl w:val="0"/>
          <w:numId w:val="23"/>
        </w:numPr>
      </w:pPr>
      <w:r>
        <w:t>A</w:t>
      </w:r>
      <w:r w:rsidR="00A91147">
        <w:t>re e</w:t>
      </w:r>
      <w:r>
        <w:t>stablished as designated in the Strategic Plan developed by the OBELT Core Team</w:t>
      </w:r>
    </w:p>
    <w:p w14:paraId="51816BD6" w14:textId="583B7CF4" w:rsidR="00D26C97" w:rsidRDefault="005B025F" w:rsidP="00A91147">
      <w:pPr>
        <w:pStyle w:val="ListParagraph"/>
        <w:numPr>
          <w:ilvl w:val="0"/>
          <w:numId w:val="23"/>
        </w:numPr>
      </w:pPr>
      <w:r>
        <w:t>Are responsible to</w:t>
      </w:r>
      <w:r w:rsidR="00D26C97">
        <w:t>:</w:t>
      </w:r>
    </w:p>
    <w:p w14:paraId="6D12C915" w14:textId="77777777" w:rsidR="00D26C97" w:rsidRDefault="00D26C97" w:rsidP="00D26C97">
      <w:pPr>
        <w:pStyle w:val="ListParagraph"/>
        <w:numPr>
          <w:ilvl w:val="1"/>
          <w:numId w:val="23"/>
        </w:numPr>
      </w:pPr>
      <w:r>
        <w:t xml:space="preserve">Follow Operational Terms </w:t>
      </w:r>
    </w:p>
    <w:p w14:paraId="04B90A64" w14:textId="77777777" w:rsidR="00D26C97" w:rsidRDefault="00D26C97" w:rsidP="00D26C97">
      <w:pPr>
        <w:pStyle w:val="ListParagraph"/>
        <w:numPr>
          <w:ilvl w:val="1"/>
          <w:numId w:val="23"/>
        </w:numPr>
      </w:pPr>
      <w:r>
        <w:t>Develop work plans and critical path</w:t>
      </w:r>
    </w:p>
    <w:p w14:paraId="49D05733" w14:textId="77777777" w:rsidR="00D26C97" w:rsidRDefault="00D26C97" w:rsidP="00D26C97">
      <w:pPr>
        <w:pStyle w:val="ListParagraph"/>
        <w:numPr>
          <w:ilvl w:val="1"/>
          <w:numId w:val="23"/>
        </w:numPr>
      </w:pPr>
      <w:r>
        <w:t>Provide a quarterly report to the Core Table</w:t>
      </w:r>
    </w:p>
    <w:p w14:paraId="58AE1432" w14:textId="77777777" w:rsidR="00D26C97" w:rsidRDefault="00D26C97" w:rsidP="00D26C97">
      <w:pPr>
        <w:pStyle w:val="ListParagraph"/>
        <w:numPr>
          <w:ilvl w:val="1"/>
          <w:numId w:val="23"/>
        </w:numPr>
      </w:pPr>
      <w:r>
        <w:t>Conduct engagement as required</w:t>
      </w:r>
    </w:p>
    <w:p w14:paraId="2949A5BF" w14:textId="77777777" w:rsidR="00D26C97" w:rsidRDefault="00D26C97" w:rsidP="00D26C97">
      <w:pPr>
        <w:pStyle w:val="ListParagraph"/>
        <w:numPr>
          <w:ilvl w:val="1"/>
          <w:numId w:val="23"/>
        </w:numPr>
      </w:pPr>
      <w:r>
        <w:t>Develop communications</w:t>
      </w:r>
    </w:p>
    <w:p w14:paraId="0968533A" w14:textId="77777777" w:rsidR="00D26C97" w:rsidRDefault="00D26C97" w:rsidP="00D26C97">
      <w:pPr>
        <w:pStyle w:val="ListParagraph"/>
        <w:numPr>
          <w:ilvl w:val="1"/>
          <w:numId w:val="23"/>
        </w:numPr>
      </w:pPr>
      <w:r>
        <w:t>Commission research and recruit experts</w:t>
      </w:r>
    </w:p>
    <w:p w14:paraId="024D8C73" w14:textId="77777777" w:rsidR="00D26C97" w:rsidRDefault="00D26C97" w:rsidP="00D26C97">
      <w:pPr>
        <w:pStyle w:val="ListParagraph"/>
        <w:numPr>
          <w:ilvl w:val="1"/>
          <w:numId w:val="23"/>
        </w:numPr>
      </w:pPr>
      <w:r>
        <w:t>Establish and monitor sub-committees or working groups as required</w:t>
      </w:r>
    </w:p>
    <w:p w14:paraId="7411C9FA" w14:textId="77777777" w:rsidR="00546722" w:rsidRDefault="00546722" w:rsidP="00546722">
      <w:r>
        <w:t>Diagram of proposed structure:</w:t>
      </w:r>
    </w:p>
    <w:p w14:paraId="697E707C" w14:textId="77777777" w:rsidR="00546722" w:rsidRDefault="00B76A39" w:rsidP="00B76A39">
      <w:r w:rsidRPr="00B76A39">
        <w:rPr>
          <w:noProof/>
        </w:rPr>
        <w:drawing>
          <wp:inline distT="0" distB="0" distL="0" distR="0" wp14:anchorId="79ECBC63" wp14:editId="0A040AA5">
            <wp:extent cx="5943600" cy="3062605"/>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stretch>
                      <a:fillRect/>
                    </a:stretch>
                  </pic:blipFill>
                  <pic:spPr>
                    <a:xfrm>
                      <a:off x="0" y="0"/>
                      <a:ext cx="5943600" cy="3062605"/>
                    </a:xfrm>
                    <a:prstGeom prst="rect">
                      <a:avLst/>
                    </a:prstGeom>
                  </pic:spPr>
                </pic:pic>
              </a:graphicData>
            </a:graphic>
          </wp:inline>
        </w:drawing>
      </w:r>
    </w:p>
    <w:p w14:paraId="32AE2EC6" w14:textId="77777777" w:rsidR="00355B31" w:rsidRDefault="00355B31" w:rsidP="00355B31">
      <w:pPr>
        <w:pStyle w:val="Heading2"/>
      </w:pPr>
      <w:bookmarkStart w:id="11" w:name="_Toc80871215"/>
      <w:r>
        <w:t>Funding</w:t>
      </w:r>
      <w:r w:rsidR="00777494">
        <w:t xml:space="preserve"> Requirements</w:t>
      </w:r>
      <w:r>
        <w:t>:</w:t>
      </w:r>
      <w:bookmarkEnd w:id="11"/>
    </w:p>
    <w:p w14:paraId="5F4520B8" w14:textId="59717D77" w:rsidR="00486DD8" w:rsidRDefault="00486DD8" w:rsidP="00EC36E1">
      <w:r w:rsidRPr="00EC36E1">
        <w:t xml:space="preserve">The </w:t>
      </w:r>
      <w:r w:rsidR="00ED07D1">
        <w:t xml:space="preserve">recommended </w:t>
      </w:r>
      <w:r w:rsidRPr="00EC36E1">
        <w:t>funding requirement to establish and maintain the Ontario Bilateral Education &amp; Learning Table</w:t>
      </w:r>
      <w:r w:rsidR="00ED07D1">
        <w:t xml:space="preserve"> is </w:t>
      </w:r>
      <w:r w:rsidR="002A3363" w:rsidRPr="002A3363">
        <w:t>$</w:t>
      </w:r>
      <w:r w:rsidR="00092919">
        <w:t>3</w:t>
      </w:r>
      <w:r w:rsidR="002A3363" w:rsidRPr="002A3363">
        <w:t>,</w:t>
      </w:r>
      <w:r w:rsidR="00092919">
        <w:t>026</w:t>
      </w:r>
      <w:r w:rsidR="002A3363" w:rsidRPr="002A3363">
        <w:t>,</w:t>
      </w:r>
      <w:r w:rsidR="00092919">
        <w:t>7</w:t>
      </w:r>
      <w:r w:rsidR="002A3363" w:rsidRPr="002A3363">
        <w:t xml:space="preserve">54.00 </w:t>
      </w:r>
      <w:r w:rsidR="00720AA9">
        <w:t>for one year</w:t>
      </w:r>
      <w:r w:rsidR="002A3363">
        <w:t xml:space="preserve"> to support the work of COO, the unaffiliated First Nations, the PTOs, the IFN, and Mushkegowuk Council</w:t>
      </w:r>
      <w:r w:rsidR="00720AA9">
        <w:t xml:space="preserve">. </w:t>
      </w:r>
      <w:r w:rsidR="00631E06">
        <w:t>It is expected this process will be o</w:t>
      </w:r>
      <w:r w:rsidR="00720AA9">
        <w:t xml:space="preserve">ngoing </w:t>
      </w:r>
      <w:r w:rsidR="00631E06">
        <w:t xml:space="preserve">and </w:t>
      </w:r>
      <w:r w:rsidR="00720AA9">
        <w:t xml:space="preserve">funding requirements </w:t>
      </w:r>
      <w:r w:rsidR="00631E06">
        <w:t>will</w:t>
      </w:r>
      <w:r w:rsidR="00720AA9">
        <w:t xml:space="preserve"> be evaluated </w:t>
      </w:r>
      <w:r w:rsidR="00631E06">
        <w:t xml:space="preserve">as the bilateral table evolves over time. The </w:t>
      </w:r>
      <w:r w:rsidR="00ED07D1">
        <w:t xml:space="preserve">funding requirement </w:t>
      </w:r>
      <w:r w:rsidR="00631E06">
        <w:t xml:space="preserve">for the first year </w:t>
      </w:r>
      <w:r w:rsidR="00ED07D1">
        <w:t>has been vetted and approved</w:t>
      </w:r>
      <w:r w:rsidR="00720AA9">
        <w:t xml:space="preserve"> </w:t>
      </w:r>
      <w:r w:rsidR="00ED07D1">
        <w:t xml:space="preserve">by the CTCLL to support fulsome participation </w:t>
      </w:r>
      <w:r w:rsidR="005731FF" w:rsidRPr="00EC36E1">
        <w:t xml:space="preserve">of </w:t>
      </w:r>
      <w:r w:rsidR="00ED07D1">
        <w:t xml:space="preserve">all First Nations in Ontario. </w:t>
      </w:r>
      <w:r w:rsidR="005731FF" w:rsidRPr="00EC36E1">
        <w:t xml:space="preserve"> </w:t>
      </w:r>
    </w:p>
    <w:p w14:paraId="6F8369A9" w14:textId="787094ED" w:rsidR="000E5F61" w:rsidRPr="00C641F1" w:rsidRDefault="000E5F61" w:rsidP="000E5F61">
      <w:r>
        <w:t xml:space="preserve">Additionally, we stipulate the funding to support the </w:t>
      </w:r>
      <w:r w:rsidR="00F70A68" w:rsidRPr="00EC36E1">
        <w:t>Ontario Bilateral Education &amp; Learning Table</w:t>
      </w:r>
      <w:r w:rsidR="00F70A68">
        <w:t xml:space="preserve"> must be </w:t>
      </w:r>
      <w:r w:rsidRPr="00F70A68">
        <w:rPr>
          <w:b/>
        </w:rPr>
        <w:t xml:space="preserve">new </w:t>
      </w:r>
      <w:r>
        <w:t xml:space="preserve">funding and </w:t>
      </w:r>
      <w:r w:rsidR="00F70A68">
        <w:t>does</w:t>
      </w:r>
      <w:r>
        <w:t xml:space="preserve"> not divert</w:t>
      </w:r>
      <w:r w:rsidR="00F70A68">
        <w:t xml:space="preserve"> </w:t>
      </w:r>
      <w:r>
        <w:t>existing funding from the education elementary</w:t>
      </w:r>
      <w:r w:rsidR="00F70A68">
        <w:t xml:space="preserve">, </w:t>
      </w:r>
      <w:r>
        <w:t xml:space="preserve">secondary </w:t>
      </w:r>
      <w:r w:rsidR="00F70A68">
        <w:t xml:space="preserve">or post-secondary funding </w:t>
      </w:r>
      <w:r>
        <w:t>allocation</w:t>
      </w:r>
      <w:r w:rsidR="00F70A68">
        <w:t>s</w:t>
      </w:r>
      <w:r>
        <w:t xml:space="preserve"> for First Nations</w:t>
      </w:r>
      <w:r w:rsidR="00F70A68">
        <w:t xml:space="preserve"> in Ontario.</w:t>
      </w:r>
    </w:p>
    <w:p w14:paraId="7A0514EC" w14:textId="77777777" w:rsidR="0049556D" w:rsidRDefault="00777494" w:rsidP="0049556D">
      <w:pPr>
        <w:pStyle w:val="Heading2"/>
      </w:pPr>
      <w:bookmarkStart w:id="12" w:name="_Toc80871216"/>
      <w:r>
        <w:lastRenderedPageBreak/>
        <w:t>Proposed Next Steps</w:t>
      </w:r>
      <w:r w:rsidR="0049556D">
        <w:t>:</w:t>
      </w:r>
      <w:bookmarkEnd w:id="12"/>
    </w:p>
    <w:p w14:paraId="30009906" w14:textId="5273416D" w:rsidR="00DF5055" w:rsidRDefault="005731FF" w:rsidP="00806901">
      <w:pPr>
        <w:pStyle w:val="ListParagraph"/>
        <w:numPr>
          <w:ilvl w:val="0"/>
          <w:numId w:val="25"/>
        </w:numPr>
      </w:pPr>
      <w:r>
        <w:t xml:space="preserve">Federal </w:t>
      </w:r>
      <w:r w:rsidR="00125939">
        <w:t>c</w:t>
      </w:r>
      <w:r>
        <w:t>ommitment</w:t>
      </w:r>
      <w:r w:rsidR="00DF5055">
        <w:t>:</w:t>
      </w:r>
    </w:p>
    <w:p w14:paraId="21FB3540" w14:textId="77777777" w:rsidR="00DF5055" w:rsidRDefault="00DF5055" w:rsidP="00DF5055">
      <w:pPr>
        <w:pStyle w:val="ListParagraph"/>
        <w:numPr>
          <w:ilvl w:val="0"/>
          <w:numId w:val="24"/>
        </w:numPr>
      </w:pPr>
      <w:r>
        <w:t xml:space="preserve">Secure </w:t>
      </w:r>
      <w:r w:rsidR="005731FF">
        <w:t xml:space="preserve">federal commitment and </w:t>
      </w:r>
      <w:r>
        <w:t>funding to support the Bilateral Process</w:t>
      </w:r>
    </w:p>
    <w:p w14:paraId="3D36A953" w14:textId="77777777" w:rsidR="005B025F" w:rsidRDefault="005B025F" w:rsidP="005B025F">
      <w:pPr>
        <w:pStyle w:val="ListParagraph"/>
        <w:numPr>
          <w:ilvl w:val="0"/>
          <w:numId w:val="25"/>
        </w:numPr>
      </w:pPr>
      <w:r>
        <w:t>OBELT Core Team is established and will:</w:t>
      </w:r>
    </w:p>
    <w:p w14:paraId="750A9D28" w14:textId="5D59A4C4" w:rsidR="005B025F" w:rsidRPr="009043F6" w:rsidRDefault="005B025F" w:rsidP="005B025F">
      <w:pPr>
        <w:pStyle w:val="ListParagraph"/>
        <w:numPr>
          <w:ilvl w:val="0"/>
          <w:numId w:val="26"/>
        </w:numPr>
      </w:pPr>
      <w:r w:rsidRPr="009043F6">
        <w:t>Develop Terms of Reference for Bilateral Process to be approved by the Leadership Council once vetted through the CTCLL</w:t>
      </w:r>
      <w:r w:rsidR="002A3363">
        <w:t>; and</w:t>
      </w:r>
    </w:p>
    <w:p w14:paraId="333BF6BA" w14:textId="1FF8805A" w:rsidR="005B025F" w:rsidRPr="009043F6" w:rsidRDefault="005B025F" w:rsidP="005B025F">
      <w:pPr>
        <w:pStyle w:val="ListParagraph"/>
        <w:numPr>
          <w:ilvl w:val="0"/>
          <w:numId w:val="26"/>
        </w:numPr>
      </w:pPr>
      <w:r w:rsidRPr="009043F6">
        <w:t xml:space="preserve">Develop </w:t>
      </w:r>
      <w:r w:rsidR="002A3363">
        <w:t>a 5-Y</w:t>
      </w:r>
      <w:r w:rsidRPr="009043F6">
        <w:t xml:space="preserve">ear </w:t>
      </w:r>
      <w:r w:rsidR="002A3363">
        <w:t xml:space="preserve">Evergreen </w:t>
      </w:r>
      <w:r w:rsidRPr="009043F6">
        <w:t>Strategic Plan to be approved by the Leadership Council once vetted through the CTCLL</w:t>
      </w:r>
      <w:r w:rsidR="002A3363">
        <w:t>.</w:t>
      </w:r>
    </w:p>
    <w:p w14:paraId="1E750654" w14:textId="5CD20582" w:rsidR="00806901" w:rsidRDefault="005B025F" w:rsidP="00806901">
      <w:pPr>
        <w:pStyle w:val="ListParagraph"/>
        <w:numPr>
          <w:ilvl w:val="0"/>
          <w:numId w:val="25"/>
        </w:numPr>
      </w:pPr>
      <w:r>
        <w:t>OBELT Core Team to conduct</w:t>
      </w:r>
      <w:r w:rsidR="00806901">
        <w:t>:</w:t>
      </w:r>
    </w:p>
    <w:p w14:paraId="7FAD243E" w14:textId="4F37868E" w:rsidR="00346B2B" w:rsidRDefault="005B025F" w:rsidP="00806901">
      <w:pPr>
        <w:pStyle w:val="ListParagraph"/>
        <w:numPr>
          <w:ilvl w:val="0"/>
          <w:numId w:val="24"/>
        </w:numPr>
      </w:pPr>
      <w:r>
        <w:t>A</w:t>
      </w:r>
      <w:r w:rsidR="00806901">
        <w:t xml:space="preserve">n environmental scan </w:t>
      </w:r>
      <w:r w:rsidR="00346B2B">
        <w:t>that incorporates the previous and current work of the OTTIFA (including Interim Bilateral Task Teams on EPP and PSE)</w:t>
      </w:r>
      <w:r w:rsidR="002A3363">
        <w:t>;</w:t>
      </w:r>
      <w:r w:rsidR="005D6B89">
        <w:t xml:space="preserve"> and</w:t>
      </w:r>
    </w:p>
    <w:p w14:paraId="1DCFB9FC" w14:textId="1C9C4727" w:rsidR="002A3363" w:rsidRDefault="002A3363" w:rsidP="002A3363">
      <w:pPr>
        <w:pStyle w:val="ListParagraph"/>
        <w:numPr>
          <w:ilvl w:val="0"/>
          <w:numId w:val="24"/>
        </w:numPr>
      </w:pPr>
      <w:r>
        <w:t>Research, as necessary, to inform the development of the strategic plan.</w:t>
      </w:r>
    </w:p>
    <w:p w14:paraId="30544A6C" w14:textId="66979C9B" w:rsidR="00DF5055" w:rsidRDefault="005B025F" w:rsidP="00DF5055">
      <w:pPr>
        <w:pStyle w:val="ListParagraph"/>
        <w:numPr>
          <w:ilvl w:val="0"/>
          <w:numId w:val="25"/>
        </w:numPr>
      </w:pPr>
      <w:r>
        <w:t>OBELT Core Team to conduct e</w:t>
      </w:r>
      <w:r w:rsidR="00DF5055">
        <w:t>ngagement:</w:t>
      </w:r>
    </w:p>
    <w:p w14:paraId="274E7D8E" w14:textId="6A2614A2" w:rsidR="00870F3D" w:rsidRPr="009043F6" w:rsidRDefault="002A3363" w:rsidP="00D36616">
      <w:pPr>
        <w:pStyle w:val="ListParagraph"/>
        <w:numPr>
          <w:ilvl w:val="0"/>
          <w:numId w:val="24"/>
        </w:numPr>
      </w:pPr>
      <w:r>
        <w:t xml:space="preserve">With </w:t>
      </w:r>
      <w:r w:rsidR="005B025F">
        <w:t>First Nation</w:t>
      </w:r>
      <w:r>
        <w:t>s and designated entities</w:t>
      </w:r>
      <w:r w:rsidR="00806901">
        <w:t xml:space="preserve"> to determine strengths, weaknesses and gaps of </w:t>
      </w:r>
      <w:r w:rsidR="0077188C">
        <w:t xml:space="preserve">the </w:t>
      </w:r>
      <w:r w:rsidR="00806901">
        <w:t xml:space="preserve">current suite of </w:t>
      </w:r>
      <w:r w:rsidR="00CE190A">
        <w:t>funding, policies, processes, programs and services</w:t>
      </w:r>
      <w:r>
        <w:t>.</w:t>
      </w:r>
    </w:p>
    <w:sectPr w:rsidR="00870F3D" w:rsidRPr="009043F6" w:rsidSect="00C91A3D">
      <w:headerReference w:type="even" r:id="rId15"/>
      <w:headerReference w:type="default" r:id="rId16"/>
      <w:footerReference w:type="default" r:id="rId17"/>
      <w:headerReference w:type="firs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027D5" w14:textId="77777777" w:rsidR="00267C4F" w:rsidRDefault="00267C4F" w:rsidP="00EA0217">
      <w:pPr>
        <w:spacing w:after="0" w:line="240" w:lineRule="auto"/>
      </w:pPr>
      <w:r>
        <w:separator/>
      </w:r>
    </w:p>
  </w:endnote>
  <w:endnote w:type="continuationSeparator" w:id="0">
    <w:p w14:paraId="4C34CFD4" w14:textId="77777777" w:rsidR="00267C4F" w:rsidRDefault="00267C4F" w:rsidP="00EA0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609415"/>
      <w:docPartObj>
        <w:docPartGallery w:val="Page Numbers (Bottom of Page)"/>
        <w:docPartUnique/>
      </w:docPartObj>
    </w:sdtPr>
    <w:sdtEndPr>
      <w:rPr>
        <w:noProof/>
      </w:rPr>
    </w:sdtEndPr>
    <w:sdtContent>
      <w:p w14:paraId="13508B38" w14:textId="2ACF8407" w:rsidR="00267C4F" w:rsidRDefault="00267C4F">
        <w:pPr>
          <w:pStyle w:val="Footer"/>
          <w:jc w:val="right"/>
        </w:pPr>
        <w:r>
          <w:fldChar w:fldCharType="begin"/>
        </w:r>
        <w:r>
          <w:instrText xml:space="preserve"> PAGE   \* MERGEFORMAT </w:instrText>
        </w:r>
        <w:r>
          <w:fldChar w:fldCharType="separate"/>
        </w:r>
        <w:r w:rsidR="00C34A6C">
          <w:rPr>
            <w:noProof/>
          </w:rPr>
          <w:t>10</w:t>
        </w:r>
        <w:r>
          <w:rPr>
            <w:noProof/>
          </w:rPr>
          <w:fldChar w:fldCharType="end"/>
        </w:r>
      </w:p>
    </w:sdtContent>
  </w:sdt>
  <w:p w14:paraId="13F9A762" w14:textId="77777777" w:rsidR="00267C4F" w:rsidRDefault="00267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64A5A" w14:textId="77777777" w:rsidR="00267C4F" w:rsidRDefault="00267C4F" w:rsidP="00EA0217">
      <w:pPr>
        <w:spacing w:after="0" w:line="240" w:lineRule="auto"/>
      </w:pPr>
      <w:r>
        <w:separator/>
      </w:r>
    </w:p>
  </w:footnote>
  <w:footnote w:type="continuationSeparator" w:id="0">
    <w:p w14:paraId="528F48E8" w14:textId="77777777" w:rsidR="00267C4F" w:rsidRDefault="00267C4F" w:rsidP="00EA0217">
      <w:pPr>
        <w:spacing w:after="0" w:line="240" w:lineRule="auto"/>
      </w:pPr>
      <w:r>
        <w:continuationSeparator/>
      </w:r>
    </w:p>
  </w:footnote>
  <w:footnote w:id="1">
    <w:p w14:paraId="104EAD2D" w14:textId="77777777" w:rsidR="00267C4F" w:rsidRDefault="00267C4F">
      <w:pPr>
        <w:pStyle w:val="FootnoteText"/>
      </w:pPr>
      <w:r>
        <w:rPr>
          <w:rStyle w:val="FootnoteReference"/>
        </w:rPr>
        <w:footnoteRef/>
      </w:r>
      <w:r>
        <w:t xml:space="preserve"> Current Education Advisory Groups under the CTCLL include: Ontario Technical Table-Interim Funding Approach (OTTIFA), Ontario First Nation Special Education Working Group (OFNSEWG), Post-Secondary Engagement Committee (PSE Committee), First Nations Lifelong Learning Table (FNLLT), Leadership Committee on Languages (LCOL).</w:t>
      </w:r>
    </w:p>
  </w:footnote>
  <w:footnote w:id="2">
    <w:p w14:paraId="6726C16C" w14:textId="606641BA" w:rsidR="00E7501B" w:rsidRDefault="00E7501B">
      <w:pPr>
        <w:pStyle w:val="FootnoteText"/>
      </w:pPr>
      <w:r>
        <w:rPr>
          <w:rStyle w:val="FootnoteReference"/>
        </w:rPr>
        <w:footnoteRef/>
      </w:r>
      <w:r>
        <w:t xml:space="preserve"> </w:t>
      </w:r>
      <w:r w:rsidR="00896EB9">
        <w:t>Reconciliation is a h</w:t>
      </w:r>
      <w:r w:rsidR="00966C5A">
        <w:t xml:space="preserve">ealing process </w:t>
      </w:r>
      <w:r w:rsidR="00966C5A" w:rsidRPr="00966C5A">
        <w:t>acknowledging the full, horrifying history of the residential schools system</w:t>
      </w:r>
      <w:r w:rsidR="00896EB9">
        <w:t xml:space="preserve"> and colonialism. Reconciliation means modifying existing systems and </w:t>
      </w:r>
      <w:r w:rsidR="00966C5A" w:rsidRPr="00966C5A">
        <w:t xml:space="preserve">creating </w:t>
      </w:r>
      <w:r w:rsidR="00896EB9">
        <w:t xml:space="preserve">new </w:t>
      </w:r>
      <w:r w:rsidR="00966C5A" w:rsidRPr="00966C5A">
        <w:t xml:space="preserve">systems to </w:t>
      </w:r>
      <w:r w:rsidR="00896EB9">
        <w:t>acknowledge the detrimental impacts of colonialism and foster a healing path forward.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0F1A7" w14:textId="77777777" w:rsidR="00267C4F" w:rsidRDefault="00C34A6C">
    <w:pPr>
      <w:pStyle w:val="Header"/>
    </w:pPr>
    <w:r>
      <w:rPr>
        <w:noProof/>
      </w:rPr>
      <w:pict w14:anchorId="67BE51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09922" o:spid="_x0000_s10243"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6FAA6" w14:textId="77777777" w:rsidR="00267C4F" w:rsidRDefault="00C34A6C">
    <w:pPr>
      <w:pStyle w:val="Header"/>
    </w:pPr>
    <w:r>
      <w:rPr>
        <w:noProof/>
      </w:rPr>
      <w:pict w14:anchorId="0B44B5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09923" o:spid="_x0000_s10244"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C6B98" w14:textId="77777777" w:rsidR="00267C4F" w:rsidRDefault="00C34A6C">
    <w:pPr>
      <w:pStyle w:val="Header"/>
    </w:pPr>
    <w:r>
      <w:rPr>
        <w:noProof/>
      </w:rPr>
      <w:pict w14:anchorId="65F8AE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09921" o:spid="_x0000_s10242"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51A"/>
    <w:multiLevelType w:val="hybridMultilevel"/>
    <w:tmpl w:val="28D0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A1941"/>
    <w:multiLevelType w:val="hybridMultilevel"/>
    <w:tmpl w:val="4EB27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AF2F0F6">
      <w:numFmt w:val="bullet"/>
      <w:lvlText w:val="•"/>
      <w:lvlJc w:val="left"/>
      <w:pPr>
        <w:ind w:left="2520" w:hanging="72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F3EA3"/>
    <w:multiLevelType w:val="hybridMultilevel"/>
    <w:tmpl w:val="4274EC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FD0A1B"/>
    <w:multiLevelType w:val="hybridMultilevel"/>
    <w:tmpl w:val="FE82565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740C79"/>
    <w:multiLevelType w:val="hybridMultilevel"/>
    <w:tmpl w:val="42449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05B85"/>
    <w:multiLevelType w:val="hybridMultilevel"/>
    <w:tmpl w:val="AE20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22C28"/>
    <w:multiLevelType w:val="hybridMultilevel"/>
    <w:tmpl w:val="75FA9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21096"/>
    <w:multiLevelType w:val="hybridMultilevel"/>
    <w:tmpl w:val="33D4A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2517A"/>
    <w:multiLevelType w:val="hybridMultilevel"/>
    <w:tmpl w:val="E79AB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333CE"/>
    <w:multiLevelType w:val="hybridMultilevel"/>
    <w:tmpl w:val="5044C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D66F89"/>
    <w:multiLevelType w:val="hybridMultilevel"/>
    <w:tmpl w:val="5E847E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1102E9"/>
    <w:multiLevelType w:val="hybridMultilevel"/>
    <w:tmpl w:val="B8842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AC7919"/>
    <w:multiLevelType w:val="hybridMultilevel"/>
    <w:tmpl w:val="2BCA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B334D"/>
    <w:multiLevelType w:val="hybridMultilevel"/>
    <w:tmpl w:val="8D30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E6B26"/>
    <w:multiLevelType w:val="hybridMultilevel"/>
    <w:tmpl w:val="D15C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CA3749"/>
    <w:multiLevelType w:val="hybridMultilevel"/>
    <w:tmpl w:val="544AFE6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B344EB"/>
    <w:multiLevelType w:val="hybridMultilevel"/>
    <w:tmpl w:val="43603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92E2F"/>
    <w:multiLevelType w:val="hybridMultilevel"/>
    <w:tmpl w:val="18D0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A2B16"/>
    <w:multiLevelType w:val="hybridMultilevel"/>
    <w:tmpl w:val="437C5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A134B9"/>
    <w:multiLevelType w:val="hybridMultilevel"/>
    <w:tmpl w:val="9554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9532AF"/>
    <w:multiLevelType w:val="hybridMultilevel"/>
    <w:tmpl w:val="4CD4CC3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15:restartNumberingAfterBreak="0">
    <w:nsid w:val="55962F21"/>
    <w:multiLevelType w:val="hybridMultilevel"/>
    <w:tmpl w:val="9ADEA0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9154862"/>
    <w:multiLevelType w:val="hybridMultilevel"/>
    <w:tmpl w:val="1722F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6D544C"/>
    <w:multiLevelType w:val="hybridMultilevel"/>
    <w:tmpl w:val="691E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1E7A8F"/>
    <w:multiLevelType w:val="hybridMultilevel"/>
    <w:tmpl w:val="2EFE0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CC1513"/>
    <w:multiLevelType w:val="hybridMultilevel"/>
    <w:tmpl w:val="82EC29F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6CD74820"/>
    <w:multiLevelType w:val="hybridMultilevel"/>
    <w:tmpl w:val="7852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DD3793"/>
    <w:multiLevelType w:val="hybridMultilevel"/>
    <w:tmpl w:val="6D9E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2B5F7B"/>
    <w:multiLevelType w:val="hybridMultilevel"/>
    <w:tmpl w:val="937A4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E85454"/>
    <w:multiLevelType w:val="hybridMultilevel"/>
    <w:tmpl w:val="BFCA1E3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D086D3F"/>
    <w:multiLevelType w:val="hybridMultilevel"/>
    <w:tmpl w:val="8E0CE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987A45"/>
    <w:multiLevelType w:val="hybridMultilevel"/>
    <w:tmpl w:val="DDBA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4"/>
  </w:num>
  <w:num w:numId="4">
    <w:abstractNumId w:val="7"/>
  </w:num>
  <w:num w:numId="5">
    <w:abstractNumId w:val="31"/>
  </w:num>
  <w:num w:numId="6">
    <w:abstractNumId w:val="26"/>
  </w:num>
  <w:num w:numId="7">
    <w:abstractNumId w:val="19"/>
  </w:num>
  <w:num w:numId="8">
    <w:abstractNumId w:val="18"/>
  </w:num>
  <w:num w:numId="9">
    <w:abstractNumId w:val="11"/>
  </w:num>
  <w:num w:numId="10">
    <w:abstractNumId w:val="3"/>
  </w:num>
  <w:num w:numId="11">
    <w:abstractNumId w:val="0"/>
  </w:num>
  <w:num w:numId="12">
    <w:abstractNumId w:val="16"/>
  </w:num>
  <w:num w:numId="13">
    <w:abstractNumId w:val="28"/>
  </w:num>
  <w:num w:numId="14">
    <w:abstractNumId w:val="8"/>
  </w:num>
  <w:num w:numId="15">
    <w:abstractNumId w:val="4"/>
  </w:num>
  <w:num w:numId="16">
    <w:abstractNumId w:val="17"/>
  </w:num>
  <w:num w:numId="17">
    <w:abstractNumId w:val="20"/>
  </w:num>
  <w:num w:numId="18">
    <w:abstractNumId w:val="30"/>
  </w:num>
  <w:num w:numId="19">
    <w:abstractNumId w:val="6"/>
  </w:num>
  <w:num w:numId="20">
    <w:abstractNumId w:val="24"/>
  </w:num>
  <w:num w:numId="21">
    <w:abstractNumId w:val="2"/>
  </w:num>
  <w:num w:numId="22">
    <w:abstractNumId w:val="1"/>
  </w:num>
  <w:num w:numId="23">
    <w:abstractNumId w:val="25"/>
  </w:num>
  <w:num w:numId="24">
    <w:abstractNumId w:val="23"/>
  </w:num>
  <w:num w:numId="25">
    <w:abstractNumId w:val="15"/>
  </w:num>
  <w:num w:numId="26">
    <w:abstractNumId w:val="22"/>
  </w:num>
  <w:num w:numId="27">
    <w:abstractNumId w:val="21"/>
  </w:num>
  <w:num w:numId="28">
    <w:abstractNumId w:val="27"/>
  </w:num>
  <w:num w:numId="29">
    <w:abstractNumId w:val="5"/>
  </w:num>
  <w:num w:numId="30">
    <w:abstractNumId w:val="13"/>
  </w:num>
  <w:num w:numId="31">
    <w:abstractNumId w:val="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5"/>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0C"/>
    <w:rsid w:val="00000394"/>
    <w:rsid w:val="0000059D"/>
    <w:rsid w:val="0001223E"/>
    <w:rsid w:val="00032479"/>
    <w:rsid w:val="00086A11"/>
    <w:rsid w:val="00086DBA"/>
    <w:rsid w:val="00092919"/>
    <w:rsid w:val="000C09D4"/>
    <w:rsid w:val="000D1EDE"/>
    <w:rsid w:val="000D39C7"/>
    <w:rsid w:val="000E3835"/>
    <w:rsid w:val="000E5F61"/>
    <w:rsid w:val="00125939"/>
    <w:rsid w:val="00126272"/>
    <w:rsid w:val="00127995"/>
    <w:rsid w:val="001320B0"/>
    <w:rsid w:val="001469EA"/>
    <w:rsid w:val="001541D3"/>
    <w:rsid w:val="0016419B"/>
    <w:rsid w:val="00164BD9"/>
    <w:rsid w:val="00193B4F"/>
    <w:rsid w:val="001E0C33"/>
    <w:rsid w:val="001E4BFF"/>
    <w:rsid w:val="001F112F"/>
    <w:rsid w:val="0020677E"/>
    <w:rsid w:val="0020724C"/>
    <w:rsid w:val="0021521E"/>
    <w:rsid w:val="00215C1A"/>
    <w:rsid w:val="00233D03"/>
    <w:rsid w:val="002468AA"/>
    <w:rsid w:val="00250126"/>
    <w:rsid w:val="00251E54"/>
    <w:rsid w:val="0025342A"/>
    <w:rsid w:val="00267C4F"/>
    <w:rsid w:val="002A0647"/>
    <w:rsid w:val="002A3363"/>
    <w:rsid w:val="002A6005"/>
    <w:rsid w:val="002B4793"/>
    <w:rsid w:val="002F13EE"/>
    <w:rsid w:val="002F560E"/>
    <w:rsid w:val="00307ADC"/>
    <w:rsid w:val="003148CC"/>
    <w:rsid w:val="003150B5"/>
    <w:rsid w:val="00337D86"/>
    <w:rsid w:val="0034046D"/>
    <w:rsid w:val="003425F9"/>
    <w:rsid w:val="003448BC"/>
    <w:rsid w:val="0034684E"/>
    <w:rsid w:val="00346B2B"/>
    <w:rsid w:val="0035542F"/>
    <w:rsid w:val="00355B31"/>
    <w:rsid w:val="00356A3B"/>
    <w:rsid w:val="00373B6D"/>
    <w:rsid w:val="003A2D2B"/>
    <w:rsid w:val="003B4295"/>
    <w:rsid w:val="003D3FDA"/>
    <w:rsid w:val="003E68D3"/>
    <w:rsid w:val="004074C3"/>
    <w:rsid w:val="00414450"/>
    <w:rsid w:val="00416660"/>
    <w:rsid w:val="0043515B"/>
    <w:rsid w:val="0044477D"/>
    <w:rsid w:val="00456D13"/>
    <w:rsid w:val="00461A72"/>
    <w:rsid w:val="00472504"/>
    <w:rsid w:val="00476CBA"/>
    <w:rsid w:val="00486DD8"/>
    <w:rsid w:val="0049556D"/>
    <w:rsid w:val="004C7072"/>
    <w:rsid w:val="004F3E77"/>
    <w:rsid w:val="00506778"/>
    <w:rsid w:val="00512A80"/>
    <w:rsid w:val="0052782F"/>
    <w:rsid w:val="00533C7E"/>
    <w:rsid w:val="00543339"/>
    <w:rsid w:val="00546722"/>
    <w:rsid w:val="005579CD"/>
    <w:rsid w:val="005731FF"/>
    <w:rsid w:val="005B025F"/>
    <w:rsid w:val="005D6B89"/>
    <w:rsid w:val="005F5315"/>
    <w:rsid w:val="00613D55"/>
    <w:rsid w:val="006246FE"/>
    <w:rsid w:val="00631E06"/>
    <w:rsid w:val="00646266"/>
    <w:rsid w:val="006840D1"/>
    <w:rsid w:val="006A48F2"/>
    <w:rsid w:val="00703508"/>
    <w:rsid w:val="00720AA9"/>
    <w:rsid w:val="007227D1"/>
    <w:rsid w:val="0074179A"/>
    <w:rsid w:val="00754108"/>
    <w:rsid w:val="0077188C"/>
    <w:rsid w:val="007754B5"/>
    <w:rsid w:val="00777494"/>
    <w:rsid w:val="00786485"/>
    <w:rsid w:val="007B0B8F"/>
    <w:rsid w:val="007C08C9"/>
    <w:rsid w:val="007C112D"/>
    <w:rsid w:val="007D7A74"/>
    <w:rsid w:val="007E6613"/>
    <w:rsid w:val="00806901"/>
    <w:rsid w:val="00817D21"/>
    <w:rsid w:val="0085461E"/>
    <w:rsid w:val="00865117"/>
    <w:rsid w:val="00870F3D"/>
    <w:rsid w:val="00872333"/>
    <w:rsid w:val="00873721"/>
    <w:rsid w:val="00875673"/>
    <w:rsid w:val="00896EB9"/>
    <w:rsid w:val="008F79F4"/>
    <w:rsid w:val="009030B0"/>
    <w:rsid w:val="009043F6"/>
    <w:rsid w:val="00904893"/>
    <w:rsid w:val="00907A48"/>
    <w:rsid w:val="00910173"/>
    <w:rsid w:val="009121AE"/>
    <w:rsid w:val="009126F8"/>
    <w:rsid w:val="00933BCF"/>
    <w:rsid w:val="0096618C"/>
    <w:rsid w:val="00966C5A"/>
    <w:rsid w:val="0097141E"/>
    <w:rsid w:val="00982D95"/>
    <w:rsid w:val="009E2F84"/>
    <w:rsid w:val="009F3609"/>
    <w:rsid w:val="00A12C35"/>
    <w:rsid w:val="00A1455A"/>
    <w:rsid w:val="00A16298"/>
    <w:rsid w:val="00A2051D"/>
    <w:rsid w:val="00A22E27"/>
    <w:rsid w:val="00A27151"/>
    <w:rsid w:val="00A345E2"/>
    <w:rsid w:val="00A3509A"/>
    <w:rsid w:val="00A35A6E"/>
    <w:rsid w:val="00A46A2A"/>
    <w:rsid w:val="00A60A99"/>
    <w:rsid w:val="00A674E5"/>
    <w:rsid w:val="00A845B3"/>
    <w:rsid w:val="00A91147"/>
    <w:rsid w:val="00AA4679"/>
    <w:rsid w:val="00AF5E50"/>
    <w:rsid w:val="00B14FA4"/>
    <w:rsid w:val="00B34E4A"/>
    <w:rsid w:val="00B76A39"/>
    <w:rsid w:val="00BA542C"/>
    <w:rsid w:val="00BA65A1"/>
    <w:rsid w:val="00BA7723"/>
    <w:rsid w:val="00BC3161"/>
    <w:rsid w:val="00BC46EA"/>
    <w:rsid w:val="00BC5B52"/>
    <w:rsid w:val="00C01812"/>
    <w:rsid w:val="00C01966"/>
    <w:rsid w:val="00C1002F"/>
    <w:rsid w:val="00C3355C"/>
    <w:rsid w:val="00C34A6C"/>
    <w:rsid w:val="00C40883"/>
    <w:rsid w:val="00C4477C"/>
    <w:rsid w:val="00C50AAE"/>
    <w:rsid w:val="00C56B00"/>
    <w:rsid w:val="00C641F1"/>
    <w:rsid w:val="00C83116"/>
    <w:rsid w:val="00C8653D"/>
    <w:rsid w:val="00C875C8"/>
    <w:rsid w:val="00C91A3D"/>
    <w:rsid w:val="00CB4139"/>
    <w:rsid w:val="00CC32D1"/>
    <w:rsid w:val="00CE190A"/>
    <w:rsid w:val="00CF0F1C"/>
    <w:rsid w:val="00CF7672"/>
    <w:rsid w:val="00D036A1"/>
    <w:rsid w:val="00D113A2"/>
    <w:rsid w:val="00D26C97"/>
    <w:rsid w:val="00D36616"/>
    <w:rsid w:val="00D37B17"/>
    <w:rsid w:val="00D519A5"/>
    <w:rsid w:val="00D55802"/>
    <w:rsid w:val="00D55C22"/>
    <w:rsid w:val="00D70A7D"/>
    <w:rsid w:val="00D848C7"/>
    <w:rsid w:val="00D860C5"/>
    <w:rsid w:val="00DD792B"/>
    <w:rsid w:val="00DF0333"/>
    <w:rsid w:val="00DF5055"/>
    <w:rsid w:val="00E157C0"/>
    <w:rsid w:val="00E468D8"/>
    <w:rsid w:val="00E57870"/>
    <w:rsid w:val="00E74884"/>
    <w:rsid w:val="00E7501B"/>
    <w:rsid w:val="00EA0217"/>
    <w:rsid w:val="00EA498E"/>
    <w:rsid w:val="00EB05F9"/>
    <w:rsid w:val="00EC36E1"/>
    <w:rsid w:val="00ED07D1"/>
    <w:rsid w:val="00ED766A"/>
    <w:rsid w:val="00EE5BF0"/>
    <w:rsid w:val="00EF6FEC"/>
    <w:rsid w:val="00F547F8"/>
    <w:rsid w:val="00F70A68"/>
    <w:rsid w:val="00F7120C"/>
    <w:rsid w:val="00FC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5"/>
    <o:shapelayout v:ext="edit">
      <o:idmap v:ext="edit" data="1"/>
    </o:shapelayout>
  </w:shapeDefaults>
  <w:decimalSymbol w:val="."/>
  <w:listSeparator w:val=","/>
  <w14:docId w14:val="42CDC168"/>
  <w15:chartTrackingRefBased/>
  <w15:docId w15:val="{741CC841-8DA0-48C4-95D2-8E6B6BDD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60C5"/>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paragraph" w:styleId="Heading2">
    <w:name w:val="heading 2"/>
    <w:basedOn w:val="Normal"/>
    <w:next w:val="Normal"/>
    <w:link w:val="Heading2Char"/>
    <w:uiPriority w:val="9"/>
    <w:unhideWhenUsed/>
    <w:qFormat/>
    <w:rsid w:val="00D860C5"/>
    <w:pPr>
      <w:keepNext/>
      <w:keepLines/>
      <w:spacing w:before="40" w:after="0"/>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
    <w:unhideWhenUsed/>
    <w:qFormat/>
    <w:rsid w:val="00506778"/>
    <w:pPr>
      <w:keepNext/>
      <w:keepLines/>
      <w:spacing w:before="40" w:after="0"/>
      <w:outlineLvl w:val="2"/>
    </w:pPr>
    <w:rPr>
      <w:rFonts w:asciiTheme="majorHAnsi" w:eastAsiaTheme="majorEastAsia" w:hAnsiTheme="majorHAnsi" w:cstheme="majorBidi"/>
      <w:color w:val="511707" w:themeColor="accent1" w:themeShade="7F"/>
      <w:sz w:val="24"/>
      <w:szCs w:val="24"/>
    </w:rPr>
  </w:style>
  <w:style w:type="paragraph" w:styleId="Heading4">
    <w:name w:val="heading 4"/>
    <w:basedOn w:val="Normal"/>
    <w:next w:val="Normal"/>
    <w:link w:val="Heading4Char"/>
    <w:uiPriority w:val="9"/>
    <w:unhideWhenUsed/>
    <w:qFormat/>
    <w:rsid w:val="00506778"/>
    <w:pPr>
      <w:keepNext/>
      <w:keepLines/>
      <w:spacing w:before="40" w:after="0"/>
      <w:outlineLvl w:val="3"/>
    </w:pPr>
    <w:rPr>
      <w:rFonts w:asciiTheme="majorHAnsi" w:eastAsiaTheme="majorEastAsia" w:hAnsiTheme="majorHAnsi" w:cstheme="majorBidi"/>
      <w:i/>
      <w:iCs/>
      <w:color w:val="7B230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51E54"/>
    <w:pPr>
      <w:ind w:left="720"/>
      <w:contextualSpacing/>
    </w:pPr>
  </w:style>
  <w:style w:type="paragraph" w:customStyle="1" w:styleId="Default">
    <w:name w:val="Default"/>
    <w:rsid w:val="00D860C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860C5"/>
    <w:rPr>
      <w:rFonts w:asciiTheme="majorHAnsi" w:eastAsiaTheme="majorEastAsia" w:hAnsiTheme="majorHAnsi" w:cstheme="majorBidi"/>
      <w:color w:val="7B230B" w:themeColor="accent1" w:themeShade="BF"/>
      <w:sz w:val="32"/>
      <w:szCs w:val="32"/>
    </w:rPr>
  </w:style>
  <w:style w:type="character" w:customStyle="1" w:styleId="Heading2Char">
    <w:name w:val="Heading 2 Char"/>
    <w:basedOn w:val="DefaultParagraphFont"/>
    <w:link w:val="Heading2"/>
    <w:uiPriority w:val="9"/>
    <w:rsid w:val="00D860C5"/>
    <w:rPr>
      <w:rFonts w:asciiTheme="majorHAnsi" w:eastAsiaTheme="majorEastAsia" w:hAnsiTheme="majorHAnsi" w:cstheme="majorBidi"/>
      <w:color w:val="7B230B" w:themeColor="accent1" w:themeShade="BF"/>
      <w:sz w:val="26"/>
      <w:szCs w:val="26"/>
    </w:rPr>
  </w:style>
  <w:style w:type="character" w:styleId="CommentReference">
    <w:name w:val="annotation reference"/>
    <w:basedOn w:val="DefaultParagraphFont"/>
    <w:uiPriority w:val="99"/>
    <w:semiHidden/>
    <w:unhideWhenUsed/>
    <w:rsid w:val="00086A11"/>
    <w:rPr>
      <w:sz w:val="16"/>
      <w:szCs w:val="16"/>
    </w:rPr>
  </w:style>
  <w:style w:type="paragraph" w:styleId="CommentText">
    <w:name w:val="annotation text"/>
    <w:basedOn w:val="Normal"/>
    <w:link w:val="CommentTextChar"/>
    <w:uiPriority w:val="99"/>
    <w:semiHidden/>
    <w:unhideWhenUsed/>
    <w:rsid w:val="00086A11"/>
    <w:pPr>
      <w:spacing w:line="240" w:lineRule="auto"/>
    </w:pPr>
    <w:rPr>
      <w:sz w:val="20"/>
      <w:szCs w:val="20"/>
    </w:rPr>
  </w:style>
  <w:style w:type="character" w:customStyle="1" w:styleId="CommentTextChar">
    <w:name w:val="Comment Text Char"/>
    <w:basedOn w:val="DefaultParagraphFont"/>
    <w:link w:val="CommentText"/>
    <w:uiPriority w:val="99"/>
    <w:semiHidden/>
    <w:rsid w:val="00086A11"/>
    <w:rPr>
      <w:sz w:val="20"/>
      <w:szCs w:val="20"/>
    </w:rPr>
  </w:style>
  <w:style w:type="paragraph" w:styleId="CommentSubject">
    <w:name w:val="annotation subject"/>
    <w:basedOn w:val="CommentText"/>
    <w:next w:val="CommentText"/>
    <w:link w:val="CommentSubjectChar"/>
    <w:uiPriority w:val="99"/>
    <w:semiHidden/>
    <w:unhideWhenUsed/>
    <w:rsid w:val="00086A11"/>
    <w:rPr>
      <w:b/>
      <w:bCs/>
    </w:rPr>
  </w:style>
  <w:style w:type="character" w:customStyle="1" w:styleId="CommentSubjectChar">
    <w:name w:val="Comment Subject Char"/>
    <w:basedOn w:val="CommentTextChar"/>
    <w:link w:val="CommentSubject"/>
    <w:uiPriority w:val="99"/>
    <w:semiHidden/>
    <w:rsid w:val="00086A11"/>
    <w:rPr>
      <w:b/>
      <w:bCs/>
      <w:sz w:val="20"/>
      <w:szCs w:val="20"/>
    </w:rPr>
  </w:style>
  <w:style w:type="paragraph" w:styleId="BalloonText">
    <w:name w:val="Balloon Text"/>
    <w:basedOn w:val="Normal"/>
    <w:link w:val="BalloonTextChar"/>
    <w:uiPriority w:val="99"/>
    <w:semiHidden/>
    <w:unhideWhenUsed/>
    <w:rsid w:val="00086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A11"/>
    <w:rPr>
      <w:rFonts w:ascii="Segoe UI" w:hAnsi="Segoe UI" w:cs="Segoe UI"/>
      <w:sz w:val="18"/>
      <w:szCs w:val="18"/>
    </w:rPr>
  </w:style>
  <w:style w:type="paragraph" w:styleId="Header">
    <w:name w:val="header"/>
    <w:basedOn w:val="Normal"/>
    <w:link w:val="HeaderChar"/>
    <w:uiPriority w:val="99"/>
    <w:unhideWhenUsed/>
    <w:rsid w:val="00EA0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217"/>
  </w:style>
  <w:style w:type="paragraph" w:styleId="Footer">
    <w:name w:val="footer"/>
    <w:basedOn w:val="Normal"/>
    <w:link w:val="FooterChar"/>
    <w:uiPriority w:val="99"/>
    <w:unhideWhenUsed/>
    <w:rsid w:val="00EA0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217"/>
  </w:style>
  <w:style w:type="character" w:customStyle="1" w:styleId="ListParagraphChar">
    <w:name w:val="List Paragraph Char"/>
    <w:link w:val="ListParagraph"/>
    <w:uiPriority w:val="34"/>
    <w:rsid w:val="0085461E"/>
  </w:style>
  <w:style w:type="character" w:customStyle="1" w:styleId="Heading3Char">
    <w:name w:val="Heading 3 Char"/>
    <w:basedOn w:val="DefaultParagraphFont"/>
    <w:link w:val="Heading3"/>
    <w:uiPriority w:val="9"/>
    <w:rsid w:val="00506778"/>
    <w:rPr>
      <w:rFonts w:asciiTheme="majorHAnsi" w:eastAsiaTheme="majorEastAsia" w:hAnsiTheme="majorHAnsi" w:cstheme="majorBidi"/>
      <w:color w:val="511707" w:themeColor="accent1" w:themeShade="7F"/>
      <w:sz w:val="24"/>
      <w:szCs w:val="24"/>
    </w:rPr>
  </w:style>
  <w:style w:type="character" w:customStyle="1" w:styleId="Heading4Char">
    <w:name w:val="Heading 4 Char"/>
    <w:basedOn w:val="DefaultParagraphFont"/>
    <w:link w:val="Heading4"/>
    <w:uiPriority w:val="9"/>
    <w:rsid w:val="00506778"/>
    <w:rPr>
      <w:rFonts w:asciiTheme="majorHAnsi" w:eastAsiaTheme="majorEastAsia" w:hAnsiTheme="majorHAnsi" w:cstheme="majorBidi"/>
      <w:i/>
      <w:iCs/>
      <w:color w:val="7B230B" w:themeColor="accent1" w:themeShade="BF"/>
    </w:rPr>
  </w:style>
  <w:style w:type="table" w:styleId="TableGridLight">
    <w:name w:val="Grid Table Light"/>
    <w:basedOn w:val="TableNormal"/>
    <w:uiPriority w:val="40"/>
    <w:rsid w:val="003448B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2F13EE"/>
    <w:pPr>
      <w:outlineLvl w:val="9"/>
    </w:pPr>
  </w:style>
  <w:style w:type="paragraph" w:styleId="TOC1">
    <w:name w:val="toc 1"/>
    <w:basedOn w:val="Normal"/>
    <w:next w:val="Normal"/>
    <w:autoRedefine/>
    <w:uiPriority w:val="39"/>
    <w:unhideWhenUsed/>
    <w:rsid w:val="002F13EE"/>
    <w:pPr>
      <w:spacing w:after="100"/>
    </w:pPr>
  </w:style>
  <w:style w:type="paragraph" w:styleId="TOC2">
    <w:name w:val="toc 2"/>
    <w:basedOn w:val="Normal"/>
    <w:next w:val="Normal"/>
    <w:autoRedefine/>
    <w:uiPriority w:val="39"/>
    <w:unhideWhenUsed/>
    <w:rsid w:val="002F13EE"/>
    <w:pPr>
      <w:spacing w:after="100"/>
      <w:ind w:left="220"/>
    </w:pPr>
  </w:style>
  <w:style w:type="paragraph" w:styleId="TOC3">
    <w:name w:val="toc 3"/>
    <w:basedOn w:val="Normal"/>
    <w:next w:val="Normal"/>
    <w:autoRedefine/>
    <w:uiPriority w:val="39"/>
    <w:unhideWhenUsed/>
    <w:rsid w:val="002F13EE"/>
    <w:pPr>
      <w:spacing w:after="100"/>
      <w:ind w:left="440"/>
    </w:pPr>
  </w:style>
  <w:style w:type="character" w:styleId="Hyperlink">
    <w:name w:val="Hyperlink"/>
    <w:basedOn w:val="DefaultParagraphFont"/>
    <w:uiPriority w:val="99"/>
    <w:unhideWhenUsed/>
    <w:rsid w:val="002F13EE"/>
    <w:rPr>
      <w:color w:val="6B9F25" w:themeColor="hyperlink"/>
      <w:u w:val="single"/>
    </w:rPr>
  </w:style>
  <w:style w:type="paragraph" w:styleId="NoSpacing">
    <w:name w:val="No Spacing"/>
    <w:link w:val="NoSpacingChar"/>
    <w:uiPriority w:val="1"/>
    <w:qFormat/>
    <w:rsid w:val="00C91A3D"/>
    <w:pPr>
      <w:spacing w:after="0" w:line="240" w:lineRule="auto"/>
    </w:pPr>
    <w:rPr>
      <w:rFonts w:eastAsiaTheme="minorEastAsia"/>
    </w:rPr>
  </w:style>
  <w:style w:type="character" w:customStyle="1" w:styleId="NoSpacingChar">
    <w:name w:val="No Spacing Char"/>
    <w:basedOn w:val="DefaultParagraphFont"/>
    <w:link w:val="NoSpacing"/>
    <w:uiPriority w:val="1"/>
    <w:rsid w:val="00C91A3D"/>
    <w:rPr>
      <w:rFonts w:eastAsiaTheme="minorEastAsia"/>
    </w:rPr>
  </w:style>
  <w:style w:type="paragraph" w:styleId="FootnoteText">
    <w:name w:val="footnote text"/>
    <w:basedOn w:val="Normal"/>
    <w:link w:val="FootnoteTextChar"/>
    <w:uiPriority w:val="99"/>
    <w:semiHidden/>
    <w:unhideWhenUsed/>
    <w:rsid w:val="00E468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68D8"/>
    <w:rPr>
      <w:sz w:val="20"/>
      <w:szCs w:val="20"/>
    </w:rPr>
  </w:style>
  <w:style w:type="character" w:styleId="FootnoteReference">
    <w:name w:val="footnote reference"/>
    <w:basedOn w:val="DefaultParagraphFont"/>
    <w:uiPriority w:val="99"/>
    <w:semiHidden/>
    <w:unhideWhenUsed/>
    <w:rsid w:val="00E468D8"/>
    <w:rPr>
      <w:vertAlign w:val="superscript"/>
    </w:rPr>
  </w:style>
  <w:style w:type="paragraph" w:styleId="Revision">
    <w:name w:val="Revision"/>
    <w:hidden/>
    <w:uiPriority w:val="99"/>
    <w:semiHidden/>
    <w:rsid w:val="00CF0F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41624">
      <w:bodyDiv w:val="1"/>
      <w:marLeft w:val="0"/>
      <w:marRight w:val="0"/>
      <w:marTop w:val="0"/>
      <w:marBottom w:val="0"/>
      <w:divBdr>
        <w:top w:val="none" w:sz="0" w:space="0" w:color="auto"/>
        <w:left w:val="none" w:sz="0" w:space="0" w:color="auto"/>
        <w:bottom w:val="none" w:sz="0" w:space="0" w:color="auto"/>
        <w:right w:val="none" w:sz="0" w:space="0" w:color="auto"/>
      </w:divBdr>
    </w:div>
    <w:div w:id="1140002633">
      <w:bodyDiv w:val="1"/>
      <w:marLeft w:val="0"/>
      <w:marRight w:val="0"/>
      <w:marTop w:val="0"/>
      <w:marBottom w:val="0"/>
      <w:divBdr>
        <w:top w:val="none" w:sz="0" w:space="0" w:color="auto"/>
        <w:left w:val="none" w:sz="0" w:space="0" w:color="auto"/>
        <w:bottom w:val="none" w:sz="0" w:space="0" w:color="auto"/>
        <w:right w:val="none" w:sz="0" w:space="0" w:color="auto"/>
      </w:divBdr>
      <w:divsChild>
        <w:div w:id="124930105">
          <w:marLeft w:val="1440"/>
          <w:marRight w:val="0"/>
          <w:marTop w:val="0"/>
          <w:marBottom w:val="240"/>
          <w:divBdr>
            <w:top w:val="none" w:sz="0" w:space="0" w:color="auto"/>
            <w:left w:val="none" w:sz="0" w:space="0" w:color="auto"/>
            <w:bottom w:val="none" w:sz="0" w:space="0" w:color="auto"/>
            <w:right w:val="none" w:sz="0" w:space="0" w:color="auto"/>
          </w:divBdr>
        </w:div>
      </w:divsChild>
    </w:div>
    <w:div w:id="20665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ac-isc.gc.ca/eng/1100100033760/154340897508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outlines recommendations on a preferred flexible structure (framework) for First Nations in Ontario to work collaboratively with Indigenous Services Canada (ISC). This framework outlines the overarching structure to build and execute an evergreen strategy that supports all First Nations in Ontario in asserting their rights, sovereignty and jurisdiction over education and learning that meets the needs of First Nation communities, individuals and designated entities. Moreover, this framework forms the basis for the development of, including but not limited to, Strategic Plans, Action Plans, Critical Paths, Logic Models and/or Theories of Change and Budget requirements to undertake activities and implement decisions.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F8A77E-02C9-4355-A312-6A41FDCA6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3178</Words>
  <Characters>18119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DRAFT Recommended Framework for First Nations in Ontario – Indigenous Services Canada Bilateral Partnership on Lifelong Learning</vt:lpstr>
    </vt:vector>
  </TitlesOfParts>
  <Company/>
  <LinksUpToDate>false</LinksUpToDate>
  <CharactersWithSpaces>21255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Recommended Framework for First Nations in Ontario – Indigenous Services Canada Bilateral Partnership on Lifelong Learning</dc:title>
  <dc:subject>A FRAMEWORK FOR FIRST NATIONS IN ONTARIO – INDIGENOUS SERVICES CANADA BILATERAL PARTNERSHIP ON LIFELONG LEARNING</dc:subject>
  <dc:creator>COO Chiefs and Technical Committee on Languages and Learning</dc:creator>
  <cp:keywords/>
  <dc:description/>
  <cp:lastModifiedBy>Chris Hoyos</cp:lastModifiedBy>
  <cp:revision>6</cp:revision>
  <cp:lastPrinted>2021-08-26T16:14:00Z</cp:lastPrinted>
  <dcterms:created xsi:type="dcterms:W3CDTF">2023-11-14T19:46:00Z</dcterms:created>
  <dcterms:modified xsi:type="dcterms:W3CDTF">2023-11-16T15:19:00Z</dcterms:modified>
</cp:coreProperties>
</file>